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44" w:rsidRPr="005A0610" w:rsidRDefault="00046644" w:rsidP="00046644">
      <w:pPr>
        <w:spacing w:line="276" w:lineRule="auto"/>
        <w:jc w:val="center"/>
        <w:rPr>
          <w:b/>
          <w:sz w:val="24"/>
          <w:lang w:val="es-EC" w:eastAsia="es-EC"/>
        </w:rPr>
      </w:pPr>
      <w:bookmarkStart w:id="0" w:name="_Toc495220631"/>
      <w:bookmarkStart w:id="1" w:name="_Toc495225923"/>
      <w:bookmarkStart w:id="2" w:name="_Toc495374383"/>
      <w:bookmarkStart w:id="3" w:name="_Toc495461919"/>
      <w:bookmarkStart w:id="4" w:name="_Toc495803839"/>
      <w:bookmarkStart w:id="5" w:name="_Toc496002367"/>
      <w:bookmarkStart w:id="6" w:name="_Toc357600552"/>
      <w:bookmarkStart w:id="7" w:name="_Toc357671604"/>
      <w:bookmarkStart w:id="8" w:name="_Toc397517363"/>
      <w:bookmarkStart w:id="9" w:name="_Toc519070086"/>
      <w:bookmarkStart w:id="10" w:name="_GoBack"/>
      <w:bookmarkEnd w:id="10"/>
      <w:r w:rsidRPr="005A0610">
        <w:rPr>
          <w:b/>
          <w:sz w:val="24"/>
          <w:lang w:val="es-EC" w:eastAsia="es-EC"/>
        </w:rPr>
        <w:t>ANEXO</w:t>
      </w:r>
    </w:p>
    <w:p w:rsidR="00046644" w:rsidRPr="00B4450B" w:rsidRDefault="00046644" w:rsidP="00174C63">
      <w:pPr>
        <w:spacing w:line="276" w:lineRule="auto"/>
        <w:rPr>
          <w:lang w:val="es-EC" w:eastAsia="es-EC"/>
        </w:rPr>
      </w:pPr>
    </w:p>
    <w:p w:rsidR="007A11DF" w:rsidRPr="00F026CF" w:rsidRDefault="00046644" w:rsidP="00046644">
      <w:pPr>
        <w:pStyle w:val="Ttulo2"/>
        <w:keepLines/>
        <w:spacing w:before="0" w:after="0" w:line="276" w:lineRule="auto"/>
        <w:jc w:val="center"/>
        <w:rPr>
          <w:rFonts w:cs="Arial"/>
          <w:bCs/>
          <w:color w:val="4F81BD"/>
          <w:szCs w:val="28"/>
          <w:lang w:eastAsia="es-EC"/>
        </w:rPr>
      </w:pPr>
      <w:r w:rsidRPr="008D6BC2">
        <w:rPr>
          <w:rFonts w:cs="Arial"/>
          <w:bCs/>
          <w:color w:val="1F497D" w:themeColor="text2"/>
          <w:szCs w:val="28"/>
          <w:lang w:eastAsia="es-EC"/>
        </w:rPr>
        <w:t>Formulario para el reporte trimestral de t</w:t>
      </w:r>
      <w:r w:rsidR="00B3301D" w:rsidRPr="008D6BC2">
        <w:rPr>
          <w:rFonts w:cs="Arial"/>
          <w:bCs/>
          <w:color w:val="1F497D" w:themeColor="text2"/>
          <w:szCs w:val="28"/>
          <w:lang w:eastAsia="es-EC"/>
        </w:rPr>
        <w:t>ransacciones por s</w:t>
      </w:r>
      <w:r w:rsidR="007A11DF" w:rsidRPr="008D6BC2">
        <w:rPr>
          <w:rFonts w:cs="Arial"/>
          <w:bCs/>
          <w:color w:val="1F497D" w:themeColor="text2"/>
          <w:szCs w:val="28"/>
          <w:lang w:eastAsia="es-EC"/>
        </w:rPr>
        <w:t>ervicios</w:t>
      </w:r>
      <w:r w:rsidR="00B3301D" w:rsidRPr="008D6BC2">
        <w:rPr>
          <w:rFonts w:cs="Arial"/>
          <w:bCs/>
          <w:color w:val="1F497D" w:themeColor="text2"/>
          <w:szCs w:val="28"/>
          <w:lang w:eastAsia="es-EC"/>
        </w:rPr>
        <w:t xml:space="preserve"> f</w:t>
      </w:r>
      <w:r w:rsidR="007A11DF" w:rsidRPr="008D6BC2">
        <w:rPr>
          <w:rFonts w:cs="Arial"/>
          <w:bCs/>
          <w:color w:val="1F497D" w:themeColor="text2"/>
          <w:szCs w:val="28"/>
          <w:lang w:eastAsia="es-EC"/>
        </w:rPr>
        <w:t xml:space="preserve">inancieros </w:t>
      </w:r>
      <w:r w:rsidR="00A1368A" w:rsidRPr="008D6BC2">
        <w:rPr>
          <w:rFonts w:cs="Arial"/>
          <w:bCs/>
          <w:color w:val="1F497D" w:themeColor="text2"/>
          <w:szCs w:val="28"/>
          <w:lang w:eastAsia="es-EC"/>
        </w:rPr>
        <w:t>prestados</w:t>
      </w:r>
      <w:r w:rsidR="007A11DF" w:rsidRPr="008D6BC2">
        <w:rPr>
          <w:rFonts w:cs="Arial"/>
          <w:bCs/>
          <w:color w:val="1F497D" w:themeColor="text2"/>
          <w:szCs w:val="28"/>
          <w:lang w:eastAsia="es-EC"/>
        </w:rPr>
        <w:t xml:space="preserve"> por las compañías de Servicios Auxiliares</w:t>
      </w:r>
      <w:r w:rsidR="007A11DF" w:rsidRPr="00F026CF">
        <w:rPr>
          <w:rFonts w:cs="Arial"/>
          <w:bCs/>
          <w:color w:val="4F81BD"/>
          <w:szCs w:val="28"/>
          <w:lang w:eastAsia="es-EC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A11DF" w:rsidRPr="005A0610" w:rsidRDefault="007A11DF" w:rsidP="00174C63">
      <w:pPr>
        <w:spacing w:line="276" w:lineRule="auto"/>
        <w:rPr>
          <w:b/>
          <w:lang w:val="es-EC" w:eastAsia="es-EC"/>
        </w:rPr>
      </w:pPr>
    </w:p>
    <w:p w:rsidR="00046644" w:rsidRPr="008D6BC2" w:rsidRDefault="00046644" w:rsidP="008D6BC2">
      <w:pPr>
        <w:shd w:val="clear" w:color="auto" w:fill="DBE5F1" w:themeFill="accent1" w:themeFillTint="33"/>
        <w:spacing w:line="276" w:lineRule="auto"/>
        <w:jc w:val="both"/>
        <w:rPr>
          <w:rFonts w:cs="Arial"/>
          <w:b/>
          <w:color w:val="000000"/>
          <w:sz w:val="22"/>
          <w:szCs w:val="22"/>
          <w:lang w:val="es-EC" w:eastAsia="es-EC"/>
        </w:rPr>
      </w:pPr>
      <w:r w:rsidRPr="005A0610">
        <w:rPr>
          <w:rFonts w:cs="Arial"/>
          <w:b/>
          <w:color w:val="000000"/>
          <w:sz w:val="22"/>
          <w:szCs w:val="22"/>
          <w:lang w:val="es-EC" w:eastAsia="es-EC"/>
        </w:rPr>
        <w:t>Base Legal:</w:t>
      </w:r>
    </w:p>
    <w:p w:rsidR="00EC2FA1" w:rsidRDefault="00EC2FA1" w:rsidP="00046644">
      <w:pPr>
        <w:spacing w:line="276" w:lineRule="auto"/>
        <w:jc w:val="both"/>
        <w:rPr>
          <w:lang w:eastAsia="es-EC"/>
        </w:rPr>
      </w:pPr>
    </w:p>
    <w:p w:rsidR="00EC2FA1" w:rsidRPr="008D6BC2" w:rsidRDefault="00EC2FA1" w:rsidP="00046644">
      <w:pPr>
        <w:spacing w:line="276" w:lineRule="auto"/>
        <w:jc w:val="both"/>
        <w:rPr>
          <w:b/>
          <w:lang w:eastAsia="es-EC"/>
        </w:rPr>
      </w:pPr>
      <w:r w:rsidRPr="008D6BC2">
        <w:rPr>
          <w:b/>
          <w:lang w:eastAsia="es-EC"/>
        </w:rPr>
        <w:t>Código O</w:t>
      </w:r>
      <w:r w:rsidR="001C03D3" w:rsidRPr="008D6BC2">
        <w:rPr>
          <w:b/>
          <w:lang w:eastAsia="es-EC"/>
        </w:rPr>
        <w:t>rgánico Monetario y Financiero.-</w:t>
      </w:r>
      <w:r w:rsidRPr="008D6BC2">
        <w:rPr>
          <w:b/>
          <w:lang w:eastAsia="es-EC"/>
        </w:rPr>
        <w:t xml:space="preserve"> </w:t>
      </w:r>
    </w:p>
    <w:p w:rsidR="00EC2FA1" w:rsidRDefault="00EC2FA1" w:rsidP="00046644">
      <w:pPr>
        <w:spacing w:line="276" w:lineRule="auto"/>
        <w:jc w:val="both"/>
        <w:rPr>
          <w:lang w:eastAsia="es-EC"/>
        </w:rPr>
      </w:pPr>
    </w:p>
    <w:p w:rsidR="00321D43" w:rsidRPr="00321D43" w:rsidRDefault="00321D43" w:rsidP="008D6BC2">
      <w:pPr>
        <w:spacing w:line="276" w:lineRule="auto"/>
        <w:ind w:left="284" w:right="285"/>
        <w:jc w:val="both"/>
        <w:rPr>
          <w:i/>
          <w:lang w:val="es-EC" w:eastAsia="es-EC"/>
        </w:rPr>
      </w:pPr>
      <w:r>
        <w:rPr>
          <w:lang w:eastAsia="es-EC"/>
        </w:rPr>
        <w:t>Título Preliminar, Capítulo 2, Sección 1.-</w:t>
      </w:r>
      <w:r>
        <w:rPr>
          <w:i/>
          <w:lang w:val="es-EC" w:eastAsia="es-EC"/>
        </w:rPr>
        <w:t xml:space="preserve"> “</w:t>
      </w:r>
      <w:r w:rsidRPr="00321D43">
        <w:rPr>
          <w:i/>
          <w:lang w:val="es-EC" w:eastAsia="es-EC"/>
        </w:rPr>
        <w:t xml:space="preserve">ARTÍCULO 14.- </w:t>
      </w:r>
      <w:r w:rsidRPr="00321D43">
        <w:rPr>
          <w:b/>
          <w:i/>
          <w:lang w:val="es-EC" w:eastAsia="es-EC"/>
        </w:rPr>
        <w:t>Funciones</w:t>
      </w:r>
      <w:r w:rsidRPr="00321D43">
        <w:rPr>
          <w:i/>
          <w:lang w:val="es-EC" w:eastAsia="es-EC"/>
        </w:rPr>
        <w:t xml:space="preserve">. </w:t>
      </w:r>
      <w:r w:rsidR="008D6BC2">
        <w:rPr>
          <w:i/>
          <w:lang w:val="es-EC" w:eastAsia="es-EC"/>
        </w:rPr>
        <w:t xml:space="preserve"> </w:t>
      </w:r>
      <w:r w:rsidRPr="00321D43">
        <w:rPr>
          <w:i/>
          <w:lang w:val="es-EC" w:eastAsia="es-EC"/>
        </w:rPr>
        <w:t>La Junta tiene las siguientes funciones:</w:t>
      </w:r>
      <w:r>
        <w:rPr>
          <w:i/>
          <w:lang w:val="es-EC" w:eastAsia="es-EC"/>
        </w:rPr>
        <w:t xml:space="preserve"> (….)</w:t>
      </w:r>
    </w:p>
    <w:p w:rsidR="00321D43" w:rsidRDefault="00321D43" w:rsidP="008D6BC2">
      <w:pPr>
        <w:spacing w:line="276" w:lineRule="auto"/>
        <w:ind w:left="284" w:right="285"/>
        <w:jc w:val="both"/>
        <w:rPr>
          <w:lang w:eastAsia="es-EC"/>
        </w:rPr>
      </w:pPr>
      <w:r w:rsidRPr="00321D43">
        <w:rPr>
          <w:i/>
          <w:lang w:val="es-EC" w:eastAsia="es-EC"/>
        </w:rPr>
        <w:t>28. Establecer los cargos por los servicios que presten las entidades financieras, de valores y seguros así como de las entidades no financieras que otorguen crédito y los gastos con terceros derivados de las operaciones activas en q</w:t>
      </w:r>
      <w:r w:rsidR="008D6BC2">
        <w:rPr>
          <w:i/>
          <w:lang w:val="es-EC" w:eastAsia="es-EC"/>
        </w:rPr>
        <w:t xml:space="preserve">ue incurran los usuarios de </w:t>
      </w:r>
      <w:r w:rsidRPr="00321D43">
        <w:rPr>
          <w:i/>
          <w:lang w:val="es-EC" w:eastAsia="es-EC"/>
        </w:rPr>
        <w:t>estas entidades;</w:t>
      </w:r>
      <w:r>
        <w:rPr>
          <w:i/>
          <w:lang w:val="es-EC" w:eastAsia="es-EC"/>
        </w:rPr>
        <w:t>”</w:t>
      </w:r>
    </w:p>
    <w:p w:rsidR="00321D43" w:rsidRDefault="00321D43" w:rsidP="00EC2FA1">
      <w:pPr>
        <w:spacing w:line="276" w:lineRule="auto"/>
        <w:ind w:left="708" w:right="285"/>
        <w:jc w:val="both"/>
        <w:rPr>
          <w:lang w:eastAsia="es-EC"/>
        </w:rPr>
      </w:pPr>
    </w:p>
    <w:p w:rsidR="00EC2FA1" w:rsidRDefault="001C03D3" w:rsidP="008D6BC2">
      <w:pPr>
        <w:spacing w:line="276" w:lineRule="auto"/>
        <w:ind w:left="284" w:right="285"/>
        <w:jc w:val="both"/>
        <w:rPr>
          <w:i/>
          <w:lang w:val="es-EC" w:eastAsia="es-EC"/>
        </w:rPr>
      </w:pPr>
      <w:r>
        <w:rPr>
          <w:lang w:eastAsia="es-EC"/>
        </w:rPr>
        <w:t>Título II, Capítulo 1, Sección 9.-</w:t>
      </w:r>
      <w:r w:rsidRPr="00EC2FA1">
        <w:rPr>
          <w:i/>
          <w:lang w:val="es-EC" w:eastAsia="es-EC"/>
        </w:rPr>
        <w:t xml:space="preserve"> </w:t>
      </w:r>
      <w:r w:rsidR="00EC2FA1" w:rsidRPr="00EC2FA1">
        <w:rPr>
          <w:i/>
          <w:lang w:val="es-EC" w:eastAsia="es-EC"/>
        </w:rPr>
        <w:t>“</w:t>
      </w:r>
      <w:r w:rsidR="00EC2FA1" w:rsidRPr="00046644">
        <w:rPr>
          <w:i/>
          <w:lang w:val="es-EC" w:eastAsia="es-EC"/>
        </w:rPr>
        <w:t xml:space="preserve">ARTÍCULO </w:t>
      </w:r>
      <w:r w:rsidR="00EC2FA1">
        <w:rPr>
          <w:i/>
          <w:lang w:val="es-EC" w:eastAsia="es-EC"/>
        </w:rPr>
        <w:t>247</w:t>
      </w:r>
      <w:r w:rsidR="00EC2FA1" w:rsidRPr="00046644">
        <w:rPr>
          <w:i/>
          <w:lang w:val="es-EC" w:eastAsia="es-EC"/>
        </w:rPr>
        <w:t>.</w:t>
      </w:r>
      <w:r w:rsidR="00EC2FA1" w:rsidRPr="00EC2FA1">
        <w:rPr>
          <w:i/>
          <w:lang w:val="es-EC" w:eastAsia="es-EC"/>
        </w:rPr>
        <w:t xml:space="preserve">- </w:t>
      </w:r>
      <w:r w:rsidR="00EC2FA1" w:rsidRPr="00EC2FA1">
        <w:rPr>
          <w:b/>
          <w:i/>
          <w:lang w:val="es-EC" w:eastAsia="es-EC"/>
        </w:rPr>
        <w:t>Cargos por servicios financieros</w:t>
      </w:r>
      <w:r w:rsidR="00EC2FA1" w:rsidRPr="008D6BC2">
        <w:rPr>
          <w:lang w:val="es-EC" w:eastAsia="es-EC"/>
        </w:rPr>
        <w:t xml:space="preserve">. </w:t>
      </w:r>
      <w:r w:rsidR="008D6BC2">
        <w:rPr>
          <w:lang w:val="es-EC" w:eastAsia="es-EC"/>
        </w:rPr>
        <w:t xml:space="preserve"> </w:t>
      </w:r>
      <w:r w:rsidR="00EC2FA1" w:rsidRPr="00046644">
        <w:rPr>
          <w:i/>
          <w:lang w:val="es-EC" w:eastAsia="es-EC"/>
        </w:rPr>
        <w:t xml:space="preserve">Las </w:t>
      </w:r>
      <w:r w:rsidR="00EC2FA1">
        <w:rPr>
          <w:i/>
          <w:lang w:val="es-EC" w:eastAsia="es-EC"/>
        </w:rPr>
        <w:t>entidades del sistema financiero nacional no aplicarán o cobrarán cargos por servicios que no han sido prestados por la entidad, ni podrán establecer cargos por servicios financieros que no estén autorizados por la Junta de Política y Regulación Monetaria y Financiera. Cualquier cargo efectuado en contra de esta disposición deberá ser restituido al usuario financiero, sin perjuicio de las sanciones a las que hubiere lugar.”</w:t>
      </w:r>
    </w:p>
    <w:p w:rsidR="001C03D3" w:rsidRDefault="001C03D3" w:rsidP="008D6BC2">
      <w:pPr>
        <w:spacing w:line="276" w:lineRule="auto"/>
        <w:ind w:left="284" w:right="285"/>
        <w:jc w:val="both"/>
        <w:rPr>
          <w:i/>
          <w:lang w:val="es-EC" w:eastAsia="es-EC"/>
        </w:rPr>
      </w:pPr>
    </w:p>
    <w:p w:rsidR="001C03D3" w:rsidRDefault="001C03D3" w:rsidP="008D6BC2">
      <w:pPr>
        <w:spacing w:line="276" w:lineRule="auto"/>
        <w:ind w:left="284" w:right="285"/>
        <w:jc w:val="both"/>
        <w:rPr>
          <w:i/>
          <w:lang w:val="es-EC" w:eastAsia="es-EC"/>
        </w:rPr>
      </w:pPr>
      <w:r>
        <w:rPr>
          <w:lang w:eastAsia="es-EC"/>
        </w:rPr>
        <w:t>Título II, Capítulo 5, Sección 6.-</w:t>
      </w:r>
      <w:r>
        <w:rPr>
          <w:i/>
          <w:lang w:val="es-EC" w:eastAsia="es-EC"/>
        </w:rPr>
        <w:t xml:space="preserve"> “ARTÍCULO 416.- </w:t>
      </w:r>
      <w:r w:rsidRPr="001C03D3">
        <w:rPr>
          <w:b/>
          <w:i/>
          <w:lang w:val="es-EC" w:eastAsia="es-EC"/>
        </w:rPr>
        <w:t>Servicios Auxiliares.</w:t>
      </w:r>
      <w:r>
        <w:rPr>
          <w:i/>
          <w:lang w:val="es-EC" w:eastAsia="es-EC"/>
        </w:rPr>
        <w:t xml:space="preserve"> Las entidades financieras privadas en sus operaciones podrán requerir de servicios auxiliares prestados por otras sociedades no financieras, de acuerdo con las disposiciones de este Código”</w:t>
      </w:r>
    </w:p>
    <w:p w:rsidR="001C03D3" w:rsidRDefault="001C03D3" w:rsidP="00EC2FA1">
      <w:pPr>
        <w:spacing w:line="276" w:lineRule="auto"/>
        <w:ind w:left="708" w:right="285"/>
        <w:jc w:val="both"/>
        <w:rPr>
          <w:lang w:eastAsia="es-EC"/>
        </w:rPr>
      </w:pPr>
    </w:p>
    <w:p w:rsidR="00321D43" w:rsidRDefault="00321D43" w:rsidP="00046644">
      <w:pPr>
        <w:spacing w:line="276" w:lineRule="auto"/>
        <w:jc w:val="both"/>
        <w:rPr>
          <w:lang w:eastAsia="es-EC"/>
        </w:rPr>
      </w:pPr>
      <w:r w:rsidRPr="008D6BC2">
        <w:rPr>
          <w:b/>
          <w:lang w:eastAsia="es-EC"/>
        </w:rPr>
        <w:t>Junta de Política y Regulación Monetaria y Financiera</w:t>
      </w:r>
      <w:r w:rsidR="008D6BC2">
        <w:rPr>
          <w:b/>
          <w:lang w:eastAsia="es-EC"/>
        </w:rPr>
        <w:t>,</w:t>
      </w:r>
      <w:r w:rsidR="008D6BC2" w:rsidRPr="008D6BC2">
        <w:rPr>
          <w:b/>
          <w:lang w:eastAsia="es-EC"/>
        </w:rPr>
        <w:t xml:space="preserve"> </w:t>
      </w:r>
      <w:r w:rsidRPr="008D6BC2">
        <w:rPr>
          <w:b/>
          <w:lang w:eastAsia="es-EC"/>
        </w:rPr>
        <w:t>Resolución No. 138-2015-F</w:t>
      </w:r>
      <w:r w:rsidR="008D6BC2" w:rsidRPr="008D6BC2">
        <w:rPr>
          <w:b/>
          <w:lang w:eastAsia="es-EC"/>
        </w:rPr>
        <w:t xml:space="preserve"> de 23 de octubre de 2015</w:t>
      </w:r>
      <w:r w:rsidRPr="008D6BC2">
        <w:rPr>
          <w:b/>
          <w:lang w:eastAsia="es-EC"/>
        </w:rPr>
        <w:t>.-</w:t>
      </w:r>
      <w:r>
        <w:rPr>
          <w:lang w:eastAsia="es-EC"/>
        </w:rPr>
        <w:t xml:space="preserve"> Normas de Servicios Financieros de las Entidades del Sector Financiero Público y Privado.</w:t>
      </w:r>
    </w:p>
    <w:p w:rsidR="00321D43" w:rsidRDefault="00321D43" w:rsidP="00046644">
      <w:pPr>
        <w:spacing w:line="276" w:lineRule="auto"/>
        <w:jc w:val="both"/>
        <w:rPr>
          <w:lang w:eastAsia="es-EC"/>
        </w:rPr>
      </w:pPr>
    </w:p>
    <w:p w:rsidR="00321D43" w:rsidRPr="00321D43" w:rsidRDefault="00321D43" w:rsidP="008D6BC2">
      <w:pPr>
        <w:spacing w:line="276" w:lineRule="auto"/>
        <w:ind w:left="284"/>
        <w:jc w:val="both"/>
        <w:rPr>
          <w:i/>
          <w:lang w:eastAsia="es-EC"/>
        </w:rPr>
      </w:pPr>
      <w:r>
        <w:rPr>
          <w:i/>
          <w:lang w:eastAsia="es-EC"/>
        </w:rPr>
        <w:t>“</w:t>
      </w:r>
      <w:r w:rsidRPr="00321D43">
        <w:rPr>
          <w:i/>
          <w:lang w:eastAsia="es-EC"/>
        </w:rPr>
        <w:t>Artículo 2.- Los servicios financieros que oferten las entidades de los sectores financiero público y privado se clasifican de la</w:t>
      </w:r>
      <w:r w:rsidR="005F5EDC">
        <w:rPr>
          <w:i/>
          <w:lang w:eastAsia="es-EC"/>
        </w:rPr>
        <w:t xml:space="preserve"> siguiente manera: a) Servicio financiero b</w:t>
      </w:r>
      <w:r w:rsidRPr="00321D43">
        <w:rPr>
          <w:i/>
          <w:lang w:eastAsia="es-EC"/>
        </w:rPr>
        <w:t>ásico; b)</w:t>
      </w:r>
      <w:r w:rsidR="005F5EDC">
        <w:rPr>
          <w:i/>
          <w:lang w:eastAsia="es-EC"/>
        </w:rPr>
        <w:t xml:space="preserve"> Servicio f</w:t>
      </w:r>
      <w:r w:rsidRPr="00321D43">
        <w:rPr>
          <w:i/>
          <w:lang w:eastAsia="es-EC"/>
        </w:rPr>
        <w:t xml:space="preserve">inanciero con cargo máximo; y c) Servicio financiero con cargo diferenciado.” </w:t>
      </w:r>
    </w:p>
    <w:p w:rsidR="00321D43" w:rsidRDefault="00321D43" w:rsidP="00046644">
      <w:pPr>
        <w:spacing w:line="276" w:lineRule="auto"/>
        <w:jc w:val="both"/>
        <w:rPr>
          <w:lang w:eastAsia="es-EC"/>
        </w:rPr>
      </w:pPr>
    </w:p>
    <w:p w:rsidR="005F5EDC" w:rsidRDefault="005F5EDC" w:rsidP="005F5EDC">
      <w:pPr>
        <w:spacing w:line="276" w:lineRule="auto"/>
        <w:jc w:val="both"/>
        <w:rPr>
          <w:lang w:eastAsia="es-EC"/>
        </w:rPr>
      </w:pPr>
      <w:r w:rsidRPr="008D6BC2">
        <w:rPr>
          <w:b/>
          <w:lang w:eastAsia="es-EC"/>
        </w:rPr>
        <w:t>Junta de Política y Regulación Monetaria y Financiera, Resolución No. 339-2017-F</w:t>
      </w:r>
      <w:r w:rsidR="008D6BC2" w:rsidRPr="008D6BC2">
        <w:rPr>
          <w:b/>
          <w:lang w:eastAsia="es-EC"/>
        </w:rPr>
        <w:t xml:space="preserve"> de 6 de marzo de 2017</w:t>
      </w:r>
      <w:r w:rsidRPr="008D6BC2">
        <w:rPr>
          <w:b/>
          <w:lang w:eastAsia="es-EC"/>
        </w:rPr>
        <w:t>.-</w:t>
      </w:r>
      <w:r>
        <w:rPr>
          <w:lang w:eastAsia="es-EC"/>
        </w:rPr>
        <w:t xml:space="preserve"> Cargos por Servicios Financieros</w:t>
      </w:r>
    </w:p>
    <w:p w:rsidR="005F5EDC" w:rsidRDefault="005F5EDC" w:rsidP="005F5EDC">
      <w:pPr>
        <w:spacing w:line="276" w:lineRule="auto"/>
        <w:jc w:val="both"/>
        <w:rPr>
          <w:lang w:eastAsia="es-EC"/>
        </w:rPr>
      </w:pPr>
    </w:p>
    <w:p w:rsidR="005F5EDC" w:rsidRPr="005F5EDC" w:rsidRDefault="005F5EDC" w:rsidP="008D6BC2">
      <w:pPr>
        <w:spacing w:line="276" w:lineRule="auto"/>
        <w:ind w:firstLine="284"/>
        <w:jc w:val="both"/>
        <w:rPr>
          <w:i/>
          <w:lang w:eastAsia="es-EC"/>
        </w:rPr>
      </w:pPr>
      <w:r w:rsidRPr="005F5EDC">
        <w:rPr>
          <w:i/>
          <w:lang w:eastAsia="es-EC"/>
        </w:rPr>
        <w:t>“</w:t>
      </w:r>
      <w:r w:rsidRPr="008D6BC2">
        <w:rPr>
          <w:b/>
          <w:i/>
          <w:lang w:eastAsia="es-EC"/>
        </w:rPr>
        <w:t>ANEXO</w:t>
      </w:r>
    </w:p>
    <w:p w:rsidR="005F5EDC" w:rsidRPr="005F5EDC" w:rsidRDefault="008D6BC2" w:rsidP="008D6BC2">
      <w:pPr>
        <w:spacing w:line="276" w:lineRule="auto"/>
        <w:ind w:firstLine="284"/>
        <w:jc w:val="both"/>
        <w:rPr>
          <w:i/>
          <w:lang w:eastAsia="es-EC"/>
        </w:rPr>
      </w:pPr>
      <w:r>
        <w:rPr>
          <w:i/>
          <w:lang w:eastAsia="es-EC"/>
        </w:rPr>
        <w:t>S</w:t>
      </w:r>
      <w:r w:rsidR="005F5EDC" w:rsidRPr="005F5EDC">
        <w:rPr>
          <w:i/>
          <w:lang w:eastAsia="es-EC"/>
        </w:rPr>
        <w:t>ervicios financieros con cargo</w:t>
      </w:r>
      <w:r>
        <w:rPr>
          <w:i/>
          <w:lang w:eastAsia="es-EC"/>
        </w:rPr>
        <w:t>s</w:t>
      </w:r>
      <w:r w:rsidR="005F5EDC" w:rsidRPr="005F5EDC">
        <w:rPr>
          <w:i/>
          <w:lang w:eastAsia="es-EC"/>
        </w:rPr>
        <w:t xml:space="preserve"> máximo</w:t>
      </w:r>
      <w:r>
        <w:rPr>
          <w:i/>
          <w:lang w:eastAsia="es-EC"/>
        </w:rPr>
        <w:t>s</w:t>
      </w:r>
      <w:r w:rsidR="005F5EDC" w:rsidRPr="005F5EDC">
        <w:rPr>
          <w:i/>
          <w:lang w:eastAsia="es-EC"/>
        </w:rPr>
        <w:t xml:space="preserve"> (…)</w:t>
      </w:r>
    </w:p>
    <w:p w:rsidR="005F5EDC" w:rsidRPr="008D6BC2" w:rsidRDefault="005F5EDC" w:rsidP="008D6BC2">
      <w:pPr>
        <w:spacing w:line="276" w:lineRule="auto"/>
        <w:ind w:firstLine="284"/>
        <w:jc w:val="both"/>
        <w:rPr>
          <w:i/>
          <w:lang w:eastAsia="es-EC"/>
        </w:rPr>
      </w:pPr>
      <w:r w:rsidRPr="005F5EDC">
        <w:rPr>
          <w:i/>
          <w:lang w:eastAsia="es-EC"/>
        </w:rPr>
        <w:t>Servicios financieros básicos (…)”</w:t>
      </w:r>
    </w:p>
    <w:p w:rsidR="00046644" w:rsidRPr="008D6BC2" w:rsidRDefault="00321D43" w:rsidP="00046644">
      <w:pPr>
        <w:spacing w:line="276" w:lineRule="auto"/>
        <w:jc w:val="both"/>
        <w:rPr>
          <w:b/>
          <w:lang w:eastAsia="es-EC"/>
        </w:rPr>
      </w:pPr>
      <w:r w:rsidRPr="008D6BC2">
        <w:rPr>
          <w:b/>
          <w:lang w:eastAsia="es-EC"/>
        </w:rPr>
        <w:lastRenderedPageBreak/>
        <w:t xml:space="preserve">Superintendencia de Bancos, </w:t>
      </w:r>
      <w:r w:rsidR="00046644" w:rsidRPr="008D6BC2">
        <w:rPr>
          <w:b/>
          <w:lang w:eastAsia="es-EC"/>
        </w:rPr>
        <w:t>Libro I de las “Normas de Control para la</w:t>
      </w:r>
      <w:r w:rsidR="008D6BC2" w:rsidRPr="008D6BC2">
        <w:rPr>
          <w:b/>
          <w:lang w:eastAsia="es-EC"/>
        </w:rPr>
        <w:t>s</w:t>
      </w:r>
      <w:r w:rsidR="00046644" w:rsidRPr="008D6BC2">
        <w:rPr>
          <w:b/>
          <w:lang w:eastAsia="es-EC"/>
        </w:rPr>
        <w:t xml:space="preserve"> Entidades de los Sectores Financieros Público y Privado”</w:t>
      </w:r>
      <w:r w:rsidR="00EC2FA1" w:rsidRPr="008D6BC2">
        <w:rPr>
          <w:b/>
          <w:lang w:eastAsia="es-EC"/>
        </w:rPr>
        <w:t>,  Capítulo VI, Sección III.-</w:t>
      </w:r>
    </w:p>
    <w:p w:rsidR="00046644" w:rsidRDefault="00046644" w:rsidP="00046644">
      <w:pPr>
        <w:spacing w:line="276" w:lineRule="auto"/>
        <w:jc w:val="both"/>
        <w:rPr>
          <w:lang w:eastAsia="es-EC"/>
        </w:rPr>
      </w:pPr>
    </w:p>
    <w:p w:rsidR="00046644" w:rsidRPr="00046644" w:rsidRDefault="00046644" w:rsidP="008D6BC2">
      <w:pPr>
        <w:spacing w:line="276" w:lineRule="auto"/>
        <w:ind w:left="284" w:right="285"/>
        <w:jc w:val="both"/>
        <w:rPr>
          <w:lang w:val="es-EC" w:eastAsia="es-EC"/>
        </w:rPr>
      </w:pPr>
      <w:r w:rsidRPr="00EC2FA1">
        <w:rPr>
          <w:i/>
          <w:lang w:val="es-EC" w:eastAsia="es-EC"/>
        </w:rPr>
        <w:t>“</w:t>
      </w:r>
      <w:r w:rsidRPr="00046644">
        <w:rPr>
          <w:i/>
          <w:lang w:val="es-EC" w:eastAsia="es-EC"/>
        </w:rPr>
        <w:t>ARTÍCULO 9.</w:t>
      </w:r>
      <w:r w:rsidRPr="00EC2FA1">
        <w:rPr>
          <w:i/>
          <w:lang w:val="es-EC" w:eastAsia="es-EC"/>
        </w:rPr>
        <w:t xml:space="preserve">- </w:t>
      </w:r>
      <w:r w:rsidRPr="00046644">
        <w:rPr>
          <w:i/>
          <w:lang w:val="es-EC" w:eastAsia="es-EC"/>
        </w:rPr>
        <w:t xml:space="preserve">Las compañías de servicios auxiliares de los sectores financieros público y privado deberán cumplir en todo momento y de forma obligatoria, las normas que emitan la Junta de Política y Regulación Monetaria y Financiera y la Superintendencia de Bancos para las entidades controladas, en relación a los bienes o servicios que prestan a las entidades de los sectores financieros público y privado, </w:t>
      </w:r>
      <w:r w:rsidRPr="00046644">
        <w:rPr>
          <w:b/>
          <w:i/>
          <w:lang w:val="es-EC" w:eastAsia="es-EC"/>
        </w:rPr>
        <w:t>incluyendo las relacionadas con cargos a los usuarios financieros</w:t>
      </w:r>
      <w:r w:rsidRPr="00046644">
        <w:rPr>
          <w:i/>
          <w:lang w:val="es-EC" w:eastAsia="es-EC"/>
        </w:rPr>
        <w:t>, lo cual será supervisado permanentemente por este organismo de control.</w:t>
      </w:r>
      <w:r w:rsidRPr="00EC2FA1">
        <w:rPr>
          <w:i/>
          <w:lang w:val="es-EC" w:eastAsia="es-EC"/>
        </w:rPr>
        <w:t>”</w:t>
      </w:r>
      <w:r w:rsidR="00EC2FA1">
        <w:rPr>
          <w:lang w:val="es-EC" w:eastAsia="es-EC"/>
        </w:rPr>
        <w:t xml:space="preserve"> (texto resaltado)</w:t>
      </w:r>
      <w:r w:rsidR="008D6BC2">
        <w:rPr>
          <w:lang w:val="es-EC" w:eastAsia="es-EC"/>
        </w:rPr>
        <w:t>.</w:t>
      </w:r>
    </w:p>
    <w:p w:rsidR="00046644" w:rsidRDefault="00046644" w:rsidP="008D6BC2">
      <w:pPr>
        <w:spacing w:line="276" w:lineRule="auto"/>
        <w:ind w:left="284"/>
        <w:jc w:val="both"/>
        <w:rPr>
          <w:rFonts w:cs="Arial"/>
          <w:color w:val="000000"/>
          <w:sz w:val="22"/>
          <w:szCs w:val="22"/>
          <w:lang w:val="es-EC" w:eastAsia="es-EC"/>
        </w:rPr>
      </w:pPr>
    </w:p>
    <w:p w:rsidR="00046644" w:rsidRPr="005A0610" w:rsidRDefault="0038431B" w:rsidP="008D6BC2">
      <w:pPr>
        <w:spacing w:line="276" w:lineRule="auto"/>
        <w:ind w:left="284"/>
        <w:jc w:val="both"/>
        <w:rPr>
          <w:rFonts w:cs="Arial"/>
          <w:i/>
          <w:color w:val="000000"/>
          <w:sz w:val="22"/>
          <w:szCs w:val="22"/>
          <w:lang w:val="es-EC" w:eastAsia="es-EC"/>
        </w:rPr>
      </w:pPr>
      <w:r w:rsidRPr="005A0610">
        <w:rPr>
          <w:rFonts w:cs="Arial"/>
          <w:i/>
          <w:color w:val="000000"/>
          <w:sz w:val="22"/>
          <w:szCs w:val="22"/>
          <w:lang w:val="es-EC" w:eastAsia="es-EC"/>
        </w:rPr>
        <w:t>“Anexo 2.- Detalle de la información a remitir  por parte de las entidades de servicios auxiliares.</w:t>
      </w:r>
      <w:r w:rsidR="005126A6">
        <w:rPr>
          <w:rFonts w:cs="Arial"/>
          <w:i/>
          <w:color w:val="000000"/>
          <w:sz w:val="22"/>
          <w:szCs w:val="22"/>
          <w:lang w:val="es-EC" w:eastAsia="es-EC"/>
        </w:rPr>
        <w:t xml:space="preserve"> </w:t>
      </w:r>
    </w:p>
    <w:p w:rsidR="0038431B" w:rsidRPr="005126A6" w:rsidRDefault="0038431B" w:rsidP="008D6BC2">
      <w:pPr>
        <w:pStyle w:val="Prrafodelista"/>
        <w:numPr>
          <w:ilvl w:val="0"/>
          <w:numId w:val="5"/>
        </w:numPr>
        <w:spacing w:line="276" w:lineRule="auto"/>
        <w:ind w:left="284" w:firstLine="0"/>
        <w:jc w:val="both"/>
        <w:rPr>
          <w:rFonts w:ascii="Arial" w:hAnsi="Arial"/>
          <w:i/>
          <w:lang w:val="es-EC" w:eastAsia="es-EC"/>
        </w:rPr>
      </w:pPr>
      <w:r w:rsidRPr="005126A6">
        <w:rPr>
          <w:rFonts w:ascii="Arial" w:hAnsi="Arial"/>
          <w:i/>
          <w:lang w:val="es-EC" w:eastAsia="es-EC"/>
        </w:rPr>
        <w:t xml:space="preserve">Numeral 8. </w:t>
      </w:r>
      <w:r w:rsidR="009F6C96">
        <w:rPr>
          <w:rFonts w:ascii="Arial" w:hAnsi="Arial"/>
          <w:i/>
          <w:lang w:val="es-EC" w:eastAsia="es-EC"/>
        </w:rPr>
        <w:t xml:space="preserve"> </w:t>
      </w:r>
      <w:r w:rsidRPr="005126A6">
        <w:rPr>
          <w:rFonts w:ascii="Arial" w:hAnsi="Arial"/>
          <w:i/>
          <w:lang w:val="es-EC" w:eastAsia="es-EC"/>
        </w:rPr>
        <w:t>Información trimestral sobre la transaccionalidad según formato de emitido por la SB</w:t>
      </w:r>
    </w:p>
    <w:p w:rsidR="0038431B" w:rsidRPr="009F6C96" w:rsidRDefault="0038431B" w:rsidP="008D6BC2">
      <w:pPr>
        <w:pStyle w:val="Prrafodelista"/>
        <w:numPr>
          <w:ilvl w:val="0"/>
          <w:numId w:val="5"/>
        </w:numPr>
        <w:spacing w:line="276" w:lineRule="auto"/>
        <w:ind w:left="284" w:firstLine="0"/>
        <w:jc w:val="both"/>
        <w:rPr>
          <w:rFonts w:cs="Arial"/>
          <w:i/>
          <w:color w:val="000000"/>
          <w:sz w:val="22"/>
          <w:szCs w:val="22"/>
          <w:lang w:val="es-EC" w:eastAsia="es-EC"/>
        </w:rPr>
      </w:pPr>
      <w:r w:rsidRPr="005126A6">
        <w:rPr>
          <w:rFonts w:ascii="Arial" w:hAnsi="Arial"/>
          <w:i/>
          <w:lang w:val="es-EC" w:eastAsia="es-EC"/>
        </w:rPr>
        <w:t xml:space="preserve">Numeral 9. </w:t>
      </w:r>
      <w:r w:rsidR="009F6C96">
        <w:rPr>
          <w:rFonts w:ascii="Arial" w:hAnsi="Arial"/>
          <w:i/>
          <w:lang w:val="es-EC" w:eastAsia="es-EC"/>
        </w:rPr>
        <w:t xml:space="preserve"> </w:t>
      </w:r>
      <w:r w:rsidRPr="005126A6">
        <w:rPr>
          <w:rFonts w:ascii="Arial" w:hAnsi="Arial"/>
          <w:i/>
          <w:lang w:val="es-EC" w:eastAsia="es-EC"/>
        </w:rPr>
        <w:t>Detalle trimestral de cargos cobrados por servicios a los usuarios del sector financiero privado</w:t>
      </w:r>
      <w:r w:rsidRPr="005A0610">
        <w:rPr>
          <w:rFonts w:cs="Arial"/>
          <w:i/>
          <w:color w:val="000000"/>
          <w:sz w:val="22"/>
          <w:szCs w:val="22"/>
          <w:lang w:val="es-EC" w:eastAsia="es-EC"/>
        </w:rPr>
        <w:t>.</w:t>
      </w:r>
    </w:p>
    <w:p w:rsidR="009F6C96" w:rsidRDefault="009F6C96" w:rsidP="008D6BC2">
      <w:pPr>
        <w:pStyle w:val="Prrafodelista"/>
        <w:numPr>
          <w:ilvl w:val="0"/>
          <w:numId w:val="5"/>
        </w:numPr>
        <w:spacing w:line="276" w:lineRule="auto"/>
        <w:ind w:left="284" w:firstLine="0"/>
        <w:jc w:val="both"/>
        <w:rPr>
          <w:rFonts w:cs="Arial"/>
          <w:i/>
          <w:color w:val="000000"/>
          <w:sz w:val="22"/>
          <w:szCs w:val="22"/>
          <w:lang w:val="es-EC" w:eastAsia="es-EC"/>
        </w:rPr>
      </w:pPr>
      <w:r>
        <w:rPr>
          <w:rFonts w:ascii="Arial" w:hAnsi="Arial"/>
          <w:i/>
          <w:lang w:val="es-EC" w:eastAsia="es-EC"/>
        </w:rPr>
        <w:t>Numeral 10.  Información de las operaciones de cartera que se encuentran en cobranza, con frecuencia trimestral.</w:t>
      </w:r>
    </w:p>
    <w:p w:rsidR="007D2B54" w:rsidRPr="005A0610" w:rsidRDefault="007D2B54" w:rsidP="007D2B54">
      <w:pPr>
        <w:pStyle w:val="Prrafodelista"/>
        <w:spacing w:line="276" w:lineRule="auto"/>
        <w:ind w:left="1068"/>
        <w:jc w:val="both"/>
        <w:rPr>
          <w:rFonts w:cs="Arial"/>
          <w:i/>
          <w:color w:val="000000"/>
          <w:sz w:val="22"/>
          <w:szCs w:val="22"/>
          <w:lang w:val="es-EC" w:eastAsia="es-EC"/>
        </w:rPr>
      </w:pPr>
    </w:p>
    <w:p w:rsidR="00321D43" w:rsidRPr="008900E0" w:rsidRDefault="008900E0" w:rsidP="008900E0">
      <w:pPr>
        <w:shd w:val="clear" w:color="auto" w:fill="B8CCE4" w:themeFill="accent1" w:themeFillTint="66"/>
        <w:spacing w:line="276" w:lineRule="auto"/>
        <w:jc w:val="both"/>
        <w:rPr>
          <w:rFonts w:cs="Arial"/>
          <w:b/>
          <w:color w:val="000000"/>
          <w:sz w:val="22"/>
          <w:szCs w:val="22"/>
          <w:lang w:val="es-EC" w:eastAsia="es-EC"/>
        </w:rPr>
      </w:pPr>
      <w:r w:rsidRPr="008900E0">
        <w:rPr>
          <w:rFonts w:cs="Arial"/>
          <w:b/>
          <w:color w:val="000000"/>
          <w:sz w:val="22"/>
          <w:szCs w:val="22"/>
          <w:lang w:val="es-EC" w:eastAsia="es-EC"/>
        </w:rPr>
        <w:t xml:space="preserve">Indicaciones Generales </w:t>
      </w:r>
    </w:p>
    <w:p w:rsidR="008900E0" w:rsidRDefault="008900E0" w:rsidP="00174C63">
      <w:pPr>
        <w:spacing w:line="276" w:lineRule="auto"/>
        <w:jc w:val="both"/>
        <w:rPr>
          <w:rFonts w:cs="Arial"/>
          <w:color w:val="000000"/>
          <w:sz w:val="22"/>
          <w:szCs w:val="22"/>
          <w:lang w:val="es-EC" w:eastAsia="es-EC"/>
        </w:rPr>
      </w:pPr>
    </w:p>
    <w:p w:rsidR="003859B8" w:rsidRDefault="008900E0" w:rsidP="008900E0">
      <w:pPr>
        <w:spacing w:line="276" w:lineRule="auto"/>
        <w:jc w:val="both"/>
        <w:rPr>
          <w:rFonts w:cs="Arial"/>
          <w:color w:val="000000"/>
          <w:sz w:val="22"/>
          <w:szCs w:val="22"/>
          <w:lang w:val="es-MX"/>
        </w:rPr>
      </w:pPr>
      <w:r w:rsidRPr="00F14914">
        <w:rPr>
          <w:rFonts w:cs="Arial"/>
          <w:b/>
          <w:color w:val="000000"/>
          <w:sz w:val="22"/>
          <w:szCs w:val="22"/>
          <w:lang w:val="es-MX"/>
        </w:rPr>
        <w:t>Datos a reportar</w:t>
      </w:r>
      <w:r>
        <w:rPr>
          <w:rFonts w:cs="Arial"/>
          <w:b/>
          <w:color w:val="000000"/>
          <w:sz w:val="22"/>
          <w:szCs w:val="22"/>
          <w:lang w:val="es-MX"/>
        </w:rPr>
        <w:t xml:space="preserve">.- </w:t>
      </w:r>
      <w:r w:rsidR="009F6C96">
        <w:rPr>
          <w:rFonts w:cs="Arial"/>
          <w:color w:val="000000"/>
          <w:sz w:val="22"/>
          <w:szCs w:val="22"/>
          <w:lang w:val="es-MX"/>
        </w:rPr>
        <w:t>S</w:t>
      </w:r>
      <w:r w:rsidR="003859B8">
        <w:rPr>
          <w:rFonts w:cs="Arial"/>
          <w:color w:val="000000"/>
          <w:sz w:val="22"/>
          <w:szCs w:val="22"/>
          <w:lang w:val="es-MX"/>
        </w:rPr>
        <w:t xml:space="preserve">e reportarán todos los servicios prestados por las compañías de servicios auxiliares, clasificados en dos grupos: </w:t>
      </w:r>
    </w:p>
    <w:p w:rsidR="003859B8" w:rsidRDefault="003859B8" w:rsidP="008900E0">
      <w:pPr>
        <w:spacing w:line="276" w:lineRule="auto"/>
        <w:jc w:val="both"/>
        <w:rPr>
          <w:rFonts w:cs="Arial"/>
          <w:color w:val="000000"/>
          <w:sz w:val="22"/>
          <w:szCs w:val="22"/>
          <w:lang w:val="es-MX"/>
        </w:rPr>
      </w:pPr>
    </w:p>
    <w:p w:rsidR="003859B8" w:rsidRDefault="003859B8" w:rsidP="00D34FD8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3859B8">
        <w:rPr>
          <w:rFonts w:ascii="Arial" w:hAnsi="Arial" w:cs="Arial"/>
          <w:color w:val="000000"/>
          <w:sz w:val="22"/>
          <w:szCs w:val="22"/>
          <w:lang w:val="es-MX"/>
        </w:rPr>
        <w:t>Par</w:t>
      </w:r>
      <w:r w:rsidR="00D34FD8">
        <w:rPr>
          <w:rFonts w:ascii="Arial" w:hAnsi="Arial" w:cs="Arial"/>
          <w:color w:val="000000"/>
          <w:sz w:val="22"/>
          <w:szCs w:val="22"/>
          <w:lang w:val="es-MX"/>
        </w:rPr>
        <w:t>te I “Servicios Catalogados”.- C</w:t>
      </w:r>
      <w:r w:rsidRPr="003859B8">
        <w:rPr>
          <w:rFonts w:ascii="Arial" w:hAnsi="Arial" w:cs="Arial"/>
          <w:color w:val="000000"/>
          <w:sz w:val="22"/>
          <w:szCs w:val="22"/>
          <w:lang w:val="es-MX"/>
        </w:rPr>
        <w:t>orresponden a los servicios autorizados por la Junta de Política y Regulación Monetaria y Financiera, los cuales s</w:t>
      </w:r>
      <w:r w:rsidR="00D34FD8">
        <w:rPr>
          <w:rFonts w:ascii="Arial" w:hAnsi="Arial" w:cs="Arial"/>
          <w:color w:val="000000"/>
          <w:sz w:val="22"/>
          <w:szCs w:val="22"/>
          <w:lang w:val="es-MX"/>
        </w:rPr>
        <w:t>e encuentran codificados en la T</w:t>
      </w:r>
      <w:r w:rsidRPr="003859B8">
        <w:rPr>
          <w:rFonts w:ascii="Arial" w:hAnsi="Arial" w:cs="Arial"/>
          <w:color w:val="000000"/>
          <w:sz w:val="22"/>
          <w:szCs w:val="22"/>
          <w:lang w:val="es-MX"/>
        </w:rPr>
        <w:t>abla 108 publicada en la página web de</w:t>
      </w:r>
      <w:r w:rsidR="00D34FD8">
        <w:rPr>
          <w:rFonts w:ascii="Arial" w:hAnsi="Arial" w:cs="Arial"/>
          <w:color w:val="000000"/>
          <w:sz w:val="22"/>
          <w:szCs w:val="22"/>
          <w:lang w:val="es-MX"/>
        </w:rPr>
        <w:t xml:space="preserve"> la Superintendencia de Bancos.</w:t>
      </w:r>
    </w:p>
    <w:p w:rsidR="003859B8" w:rsidRDefault="003859B8" w:rsidP="00D34FD8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>La información deberá reportarse trimestralmente.</w:t>
      </w:r>
    </w:p>
    <w:p w:rsidR="003859B8" w:rsidRDefault="003859B8" w:rsidP="00D34FD8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3859B8">
        <w:rPr>
          <w:rFonts w:ascii="Arial" w:hAnsi="Arial" w:cs="Arial"/>
          <w:color w:val="000000"/>
          <w:sz w:val="22"/>
          <w:szCs w:val="22"/>
          <w:lang w:val="es-MX"/>
        </w:rPr>
        <w:t>Parte II “Servicios No Catalogados”.-</w:t>
      </w:r>
      <w:r w:rsidR="00D34FD8">
        <w:rPr>
          <w:rFonts w:ascii="Arial" w:hAnsi="Arial" w:cs="Arial"/>
          <w:color w:val="000000"/>
          <w:sz w:val="22"/>
          <w:szCs w:val="22"/>
          <w:lang w:val="es-MX"/>
        </w:rPr>
        <w:t xml:space="preserve"> C</w:t>
      </w:r>
      <w:r w:rsidR="005126A6">
        <w:rPr>
          <w:rFonts w:ascii="Arial" w:hAnsi="Arial" w:cs="Arial"/>
          <w:color w:val="000000"/>
          <w:sz w:val="22"/>
          <w:szCs w:val="22"/>
          <w:lang w:val="es-MX"/>
        </w:rPr>
        <w:t>orresponden a los productos y servicios financieros o no financieros que actualmente son ofertados por la compañía de servicios auxiliares y no se encuentran catal</w:t>
      </w:r>
      <w:r w:rsidR="00D34FD8">
        <w:rPr>
          <w:rFonts w:ascii="Arial" w:hAnsi="Arial" w:cs="Arial"/>
          <w:color w:val="000000"/>
          <w:sz w:val="22"/>
          <w:szCs w:val="22"/>
          <w:lang w:val="es-MX"/>
        </w:rPr>
        <w:t>ogados por la Junta de Política</w:t>
      </w:r>
      <w:r w:rsidR="005126A6">
        <w:rPr>
          <w:rFonts w:ascii="Arial" w:hAnsi="Arial" w:cs="Arial"/>
          <w:color w:val="000000"/>
          <w:sz w:val="22"/>
          <w:szCs w:val="22"/>
          <w:lang w:val="es-MX"/>
        </w:rPr>
        <w:t xml:space="preserve"> y Regulación Monetaria y Financiera.</w:t>
      </w:r>
    </w:p>
    <w:p w:rsidR="008900E0" w:rsidRPr="00D34FD8" w:rsidRDefault="00207185" w:rsidP="00D34FD8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 xml:space="preserve">La información deberá ser reportada por </w:t>
      </w:r>
      <w:r w:rsidR="00D34FD8">
        <w:rPr>
          <w:rFonts w:ascii="Arial" w:hAnsi="Arial" w:cs="Arial"/>
          <w:color w:val="000000"/>
          <w:sz w:val="22"/>
          <w:szCs w:val="22"/>
          <w:lang w:val="es-MX"/>
        </w:rPr>
        <w:t>UNA sola vez en el primer envío;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y</w:t>
      </w:r>
      <w:r w:rsidR="00D34FD8">
        <w:rPr>
          <w:rFonts w:ascii="Arial" w:hAnsi="Arial" w:cs="Arial"/>
          <w:color w:val="000000"/>
          <w:sz w:val="22"/>
          <w:szCs w:val="22"/>
          <w:lang w:val="es-MX"/>
        </w:rPr>
        <w:t>,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contendrá los valores mensuales (enero a diciembre) del año 2018.</w:t>
      </w:r>
    </w:p>
    <w:p w:rsidR="008900E0" w:rsidRPr="00D34FD8" w:rsidRDefault="008900E0" w:rsidP="00174C63">
      <w:pPr>
        <w:spacing w:line="276" w:lineRule="auto"/>
        <w:jc w:val="both"/>
        <w:rPr>
          <w:rFonts w:cs="Arial"/>
          <w:color w:val="000000"/>
          <w:sz w:val="22"/>
          <w:szCs w:val="22"/>
          <w:lang w:val="es-MX" w:eastAsia="es-EC"/>
        </w:rPr>
      </w:pPr>
    </w:p>
    <w:p w:rsidR="005126A6" w:rsidRDefault="008900E0" w:rsidP="00174C63">
      <w:pPr>
        <w:spacing w:line="276" w:lineRule="auto"/>
        <w:jc w:val="both"/>
        <w:rPr>
          <w:rFonts w:cs="Arial"/>
          <w:color w:val="000000"/>
          <w:sz w:val="22"/>
          <w:szCs w:val="22"/>
          <w:lang w:val="es-EC" w:eastAsia="es-EC"/>
        </w:rPr>
      </w:pPr>
      <w:r>
        <w:rPr>
          <w:rFonts w:cs="Arial"/>
          <w:color w:val="000000"/>
          <w:sz w:val="22"/>
          <w:szCs w:val="22"/>
          <w:lang w:val="es-EC" w:eastAsia="es-EC"/>
        </w:rPr>
        <w:t>En el oficio de respuesta entregado a la Superintendencia de Bancos, se debe incluir la siguiente información:</w:t>
      </w:r>
    </w:p>
    <w:p w:rsidR="00D34FD8" w:rsidRDefault="00D34FD8" w:rsidP="00174C63">
      <w:pPr>
        <w:spacing w:line="276" w:lineRule="auto"/>
        <w:jc w:val="both"/>
        <w:rPr>
          <w:rFonts w:cs="Arial"/>
          <w:color w:val="000000"/>
          <w:sz w:val="22"/>
          <w:szCs w:val="22"/>
          <w:lang w:val="es-EC" w:eastAsia="es-EC"/>
        </w:rPr>
      </w:pPr>
    </w:p>
    <w:p w:rsidR="008900E0" w:rsidRDefault="008900E0" w:rsidP="00D34FD8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b/>
          <w:sz w:val="22"/>
          <w:szCs w:val="22"/>
          <w:lang w:val="es-EC" w:eastAsia="es-EC"/>
        </w:rPr>
        <w:lastRenderedPageBreak/>
        <w:t>Nombre del formulario</w:t>
      </w:r>
      <w:r w:rsidRPr="00F026CF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>
        <w:rPr>
          <w:rFonts w:ascii="Arial" w:hAnsi="Arial" w:cs="Arial"/>
          <w:sz w:val="22"/>
          <w:szCs w:val="22"/>
          <w:lang w:val="es-EC" w:eastAsia="es-EC"/>
        </w:rPr>
        <w:t>La c</w:t>
      </w:r>
      <w:r w:rsidRPr="00F026CF">
        <w:rPr>
          <w:rFonts w:ascii="Arial" w:hAnsi="Arial" w:cs="Arial"/>
          <w:sz w:val="22"/>
          <w:szCs w:val="22"/>
          <w:lang w:val="es-EC" w:eastAsia="es-EC"/>
        </w:rPr>
        <w:t>odificación asignada a</w:t>
      </w:r>
      <w:r>
        <w:rPr>
          <w:rFonts w:ascii="Arial" w:hAnsi="Arial" w:cs="Arial"/>
          <w:sz w:val="22"/>
          <w:szCs w:val="22"/>
          <w:lang w:val="es-EC" w:eastAsia="es-EC"/>
        </w:rPr>
        <w:t xml:space="preserve">l formulario </w:t>
      </w:r>
      <w:r w:rsidRPr="00B3301D">
        <w:rPr>
          <w:rFonts w:ascii="Arial" w:hAnsi="Arial" w:cs="Arial"/>
          <w:sz w:val="22"/>
          <w:szCs w:val="22"/>
          <w:lang w:val="es-EC" w:eastAsia="es-EC"/>
        </w:rPr>
        <w:t>para el reporte trimestral de transacciones por servicios financieros ofertados por las compañías de Servicios Auxiliares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es el “SA001”</w:t>
      </w:r>
      <w:r w:rsidR="00D34FD8">
        <w:rPr>
          <w:rFonts w:ascii="Arial" w:hAnsi="Arial" w:cs="Arial"/>
          <w:sz w:val="22"/>
          <w:szCs w:val="22"/>
          <w:lang w:val="es-EC" w:eastAsia="es-EC"/>
        </w:rPr>
        <w:t>.</w:t>
      </w:r>
    </w:p>
    <w:p w:rsidR="008900E0" w:rsidRPr="00B3301D" w:rsidRDefault="008900E0" w:rsidP="00D34FD8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B3301D">
        <w:rPr>
          <w:rFonts w:ascii="Arial" w:hAnsi="Arial" w:cs="Arial"/>
          <w:b/>
          <w:sz w:val="22"/>
          <w:szCs w:val="22"/>
          <w:lang w:val="es-EC" w:eastAsia="es-EC"/>
        </w:rPr>
        <w:t xml:space="preserve">Resolución de calificación.- </w:t>
      </w:r>
      <w:r w:rsidRPr="00B3301D">
        <w:rPr>
          <w:rFonts w:ascii="Arial" w:hAnsi="Arial" w:cs="Arial"/>
          <w:sz w:val="22"/>
          <w:szCs w:val="22"/>
          <w:lang w:val="es-EC" w:eastAsia="es-EC"/>
        </w:rPr>
        <w:t xml:space="preserve">Es el número de resolución emitida por la Superintendencia de Bancos, a través de la cual se califica o se ratifica la calificación </w:t>
      </w:r>
      <w:r w:rsidR="00D34FD8">
        <w:rPr>
          <w:rFonts w:ascii="Arial" w:hAnsi="Arial" w:cs="Arial"/>
          <w:sz w:val="22"/>
          <w:szCs w:val="22"/>
          <w:lang w:val="es-EC" w:eastAsia="es-EC"/>
        </w:rPr>
        <w:t>como</w:t>
      </w:r>
      <w:r w:rsidRPr="00B3301D">
        <w:rPr>
          <w:rFonts w:ascii="Arial" w:hAnsi="Arial" w:cs="Arial"/>
          <w:sz w:val="22"/>
          <w:szCs w:val="22"/>
          <w:lang w:val="es-EC" w:eastAsia="es-EC"/>
        </w:rPr>
        <w:t xml:space="preserve"> compañía de servicios auxiliares. </w:t>
      </w:r>
    </w:p>
    <w:p w:rsidR="008900E0" w:rsidRDefault="008900E0" w:rsidP="00D34FD8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el caso de que la entidad tenga un número de resolución de calificación y otro de ratificación de la calificación, ingresar el número de resolución más actual.</w:t>
      </w:r>
    </w:p>
    <w:p w:rsidR="00A52770" w:rsidRPr="00A52770" w:rsidRDefault="00A52770" w:rsidP="00D34FD8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 xml:space="preserve">El tipo de compañía auxiliar </w:t>
      </w:r>
      <w:r w:rsidR="00D34FD8">
        <w:rPr>
          <w:rFonts w:ascii="Arial" w:hAnsi="Arial" w:cs="Arial"/>
          <w:sz w:val="22"/>
          <w:szCs w:val="22"/>
          <w:lang w:val="es-EC" w:eastAsia="es-EC"/>
        </w:rPr>
        <w:t>tal cual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ha sido calificada y que consta en la resoluc</w:t>
      </w:r>
      <w:r w:rsidR="00D30BCA">
        <w:rPr>
          <w:rFonts w:ascii="Arial" w:hAnsi="Arial" w:cs="Arial"/>
          <w:sz w:val="22"/>
          <w:szCs w:val="22"/>
          <w:lang w:val="es-EC" w:eastAsia="es-EC"/>
        </w:rPr>
        <w:t>ión.</w:t>
      </w:r>
    </w:p>
    <w:p w:rsidR="008900E0" w:rsidRDefault="008900E0" w:rsidP="00D34FD8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8900E0">
        <w:rPr>
          <w:rFonts w:ascii="Arial" w:hAnsi="Arial" w:cs="Arial"/>
          <w:b/>
          <w:sz w:val="22"/>
          <w:szCs w:val="22"/>
          <w:lang w:val="es-EC" w:eastAsia="es-EC"/>
        </w:rPr>
        <w:t>Número total de registros.-</w:t>
      </w:r>
      <w:r w:rsidRPr="008900E0">
        <w:rPr>
          <w:rFonts w:cs="Arial"/>
          <w:b/>
          <w:sz w:val="22"/>
          <w:szCs w:val="22"/>
          <w:lang w:val="es-EC" w:eastAsia="es-EC"/>
        </w:rPr>
        <w:t xml:space="preserve"> </w:t>
      </w:r>
      <w:r w:rsidR="00A52770">
        <w:rPr>
          <w:rFonts w:ascii="Arial" w:hAnsi="Arial" w:cs="Arial"/>
          <w:sz w:val="22"/>
          <w:szCs w:val="22"/>
          <w:lang w:val="es-EC" w:eastAsia="es-EC"/>
        </w:rPr>
        <w:t>Del formulario de “Servicios Catalogados”, se debe reportar el n</w:t>
      </w:r>
      <w:r w:rsidRPr="008900E0">
        <w:rPr>
          <w:rFonts w:ascii="Arial" w:hAnsi="Arial" w:cs="Arial"/>
          <w:sz w:val="22"/>
          <w:szCs w:val="22"/>
          <w:lang w:val="es-EC" w:eastAsia="es-EC"/>
        </w:rPr>
        <w:t>úmero de líneas que contiene el archivo</w:t>
      </w:r>
      <w:r w:rsidR="00EF0A18">
        <w:rPr>
          <w:rFonts w:ascii="Arial" w:hAnsi="Arial" w:cs="Arial"/>
          <w:sz w:val="22"/>
          <w:szCs w:val="22"/>
          <w:lang w:val="es-EC" w:eastAsia="es-EC"/>
        </w:rPr>
        <w:t>,</w:t>
      </w:r>
      <w:r w:rsidRPr="008900E0">
        <w:rPr>
          <w:rFonts w:ascii="Arial" w:hAnsi="Arial" w:cs="Arial"/>
          <w:sz w:val="22"/>
          <w:szCs w:val="22"/>
          <w:lang w:val="es-EC" w:eastAsia="es-EC"/>
        </w:rPr>
        <w:t xml:space="preserve"> inc</w:t>
      </w:r>
      <w:r w:rsidR="00EF0A18">
        <w:rPr>
          <w:rFonts w:ascii="Arial" w:hAnsi="Arial" w:cs="Arial"/>
          <w:sz w:val="22"/>
          <w:szCs w:val="22"/>
          <w:lang w:val="es-EC" w:eastAsia="es-EC"/>
        </w:rPr>
        <w:t>luido los registros de cabecera</w:t>
      </w:r>
      <w:r w:rsidR="00A52770">
        <w:rPr>
          <w:rFonts w:ascii="Arial" w:hAnsi="Arial" w:cs="Arial"/>
          <w:sz w:val="22"/>
          <w:szCs w:val="22"/>
          <w:lang w:val="es-EC" w:eastAsia="es-EC"/>
        </w:rPr>
        <w:t>.</w:t>
      </w:r>
    </w:p>
    <w:p w:rsidR="00A52770" w:rsidRDefault="00A52770" w:rsidP="00D34FD8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b/>
          <w:sz w:val="22"/>
          <w:szCs w:val="22"/>
          <w:lang w:val="es-EC" w:eastAsia="es-EC"/>
        </w:rPr>
        <w:t>Nombre de la persona de contacto.</w:t>
      </w:r>
      <w:r>
        <w:rPr>
          <w:rFonts w:ascii="Arial" w:hAnsi="Arial" w:cs="Arial"/>
          <w:sz w:val="22"/>
          <w:szCs w:val="22"/>
          <w:lang w:val="es-EC" w:eastAsia="es-EC"/>
        </w:rPr>
        <w:t>- se debe incluir el nombre, teléfono/extensión y correo electrónico del responsable de gestionar la información solicitada para solventar cualquier inquietud al respecto.</w:t>
      </w:r>
    </w:p>
    <w:p w:rsidR="005126A6" w:rsidRDefault="005126A6" w:rsidP="005126A6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</w:p>
    <w:p w:rsidR="0038431B" w:rsidRPr="005A0610" w:rsidRDefault="000D3639" w:rsidP="005A0610">
      <w:pPr>
        <w:shd w:val="clear" w:color="auto" w:fill="B8CCE4" w:themeFill="accent1" w:themeFillTint="66"/>
        <w:spacing w:line="276" w:lineRule="auto"/>
        <w:jc w:val="both"/>
        <w:rPr>
          <w:rFonts w:cs="Arial"/>
          <w:b/>
          <w:color w:val="000000"/>
          <w:sz w:val="22"/>
          <w:szCs w:val="22"/>
          <w:lang w:val="es-EC" w:eastAsia="es-EC"/>
        </w:rPr>
      </w:pPr>
      <w:r>
        <w:rPr>
          <w:rFonts w:cs="Arial"/>
          <w:b/>
          <w:color w:val="000000"/>
          <w:sz w:val="22"/>
          <w:szCs w:val="22"/>
          <w:lang w:val="es-EC" w:eastAsia="es-EC"/>
        </w:rPr>
        <w:t xml:space="preserve">PARTE </w:t>
      </w:r>
      <w:r w:rsidR="00765F0C">
        <w:rPr>
          <w:rFonts w:cs="Arial"/>
          <w:b/>
          <w:color w:val="000000"/>
          <w:sz w:val="22"/>
          <w:szCs w:val="22"/>
          <w:lang w:val="es-EC" w:eastAsia="es-EC"/>
        </w:rPr>
        <w:t>I.- Campos del Formulario S</w:t>
      </w:r>
      <w:r>
        <w:rPr>
          <w:rFonts w:cs="Arial"/>
          <w:b/>
          <w:color w:val="000000"/>
          <w:sz w:val="22"/>
          <w:szCs w:val="22"/>
          <w:lang w:val="es-EC" w:eastAsia="es-EC"/>
        </w:rPr>
        <w:t xml:space="preserve">ervicios </w:t>
      </w:r>
      <w:r w:rsidR="00765F0C">
        <w:rPr>
          <w:rFonts w:cs="Arial"/>
          <w:b/>
          <w:color w:val="000000"/>
          <w:sz w:val="22"/>
          <w:szCs w:val="22"/>
          <w:lang w:val="es-EC" w:eastAsia="es-EC"/>
        </w:rPr>
        <w:t>C</w:t>
      </w:r>
      <w:r>
        <w:rPr>
          <w:rFonts w:cs="Arial"/>
          <w:b/>
          <w:color w:val="000000"/>
          <w:sz w:val="22"/>
          <w:szCs w:val="22"/>
          <w:lang w:val="es-EC" w:eastAsia="es-EC"/>
        </w:rPr>
        <w:t>atalogados</w:t>
      </w:r>
    </w:p>
    <w:p w:rsidR="007A11DF" w:rsidRDefault="007A11DF" w:rsidP="00174C63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C" w:eastAsia="es-EC"/>
        </w:rPr>
      </w:pPr>
    </w:p>
    <w:p w:rsidR="00DD6FC3" w:rsidRDefault="00C81276" w:rsidP="00CC25D4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Los 15</w:t>
      </w:r>
      <w:r w:rsidR="00BC28E2" w:rsidRPr="00DD6FC3">
        <w:rPr>
          <w:rFonts w:ascii="Arial" w:hAnsi="Arial" w:cs="Arial"/>
          <w:sz w:val="22"/>
          <w:szCs w:val="22"/>
          <w:lang w:val="es-EC" w:eastAsia="es-EC"/>
        </w:rPr>
        <w:t xml:space="preserve"> campos solicitados deben ser reportados en </w:t>
      </w:r>
      <w:r w:rsidR="00DD6FC3" w:rsidRPr="00DD6FC3">
        <w:rPr>
          <w:rFonts w:ascii="Arial" w:hAnsi="Arial" w:cs="Arial"/>
          <w:sz w:val="22"/>
          <w:szCs w:val="22"/>
          <w:lang w:val="es-EC" w:eastAsia="es-EC"/>
        </w:rPr>
        <w:t>una hoja de</w:t>
      </w:r>
      <w:r w:rsidR="00BC28E2" w:rsidRPr="00DD6FC3">
        <w:rPr>
          <w:rFonts w:ascii="Arial" w:hAnsi="Arial" w:cs="Arial"/>
          <w:sz w:val="22"/>
          <w:szCs w:val="22"/>
          <w:lang w:val="es-EC" w:eastAsia="es-EC"/>
        </w:rPr>
        <w:t xml:space="preserve"> archivo Excel, es decir </w:t>
      </w:r>
      <w:r w:rsidR="00DD6FC3" w:rsidRPr="00DD6FC3">
        <w:rPr>
          <w:rFonts w:ascii="Arial" w:hAnsi="Arial" w:cs="Arial"/>
          <w:sz w:val="22"/>
          <w:szCs w:val="22"/>
          <w:lang w:val="es-EC" w:eastAsia="es-EC"/>
        </w:rPr>
        <w:t xml:space="preserve">la hoja de Excel </w:t>
      </w:r>
      <w:r w:rsidR="00BC28E2" w:rsidRPr="00DD6FC3">
        <w:rPr>
          <w:rFonts w:ascii="Arial" w:hAnsi="Arial" w:cs="Arial"/>
          <w:sz w:val="22"/>
          <w:szCs w:val="22"/>
          <w:lang w:val="es-EC" w:eastAsia="es-EC"/>
        </w:rPr>
        <w:t>tendr</w:t>
      </w:r>
      <w:r w:rsidR="00684976">
        <w:rPr>
          <w:rFonts w:ascii="Arial" w:hAnsi="Arial" w:cs="Arial"/>
          <w:sz w:val="22"/>
          <w:szCs w:val="22"/>
          <w:lang w:val="es-EC" w:eastAsia="es-EC"/>
        </w:rPr>
        <w:t>á 1</w:t>
      </w:r>
      <w:r>
        <w:rPr>
          <w:rFonts w:ascii="Arial" w:hAnsi="Arial" w:cs="Arial"/>
          <w:sz w:val="22"/>
          <w:szCs w:val="22"/>
          <w:lang w:val="es-EC" w:eastAsia="es-EC"/>
        </w:rPr>
        <w:t>5</w:t>
      </w:r>
      <w:r w:rsidR="00BC28E2" w:rsidRPr="00DD6FC3">
        <w:rPr>
          <w:rFonts w:ascii="Arial" w:hAnsi="Arial" w:cs="Arial"/>
          <w:sz w:val="22"/>
          <w:szCs w:val="22"/>
          <w:lang w:val="es-EC" w:eastAsia="es-EC"/>
        </w:rPr>
        <w:t xml:space="preserve"> columnas, en el caso de que la</w:t>
      </w:r>
      <w:r w:rsidR="00684976">
        <w:rPr>
          <w:rFonts w:ascii="Arial" w:hAnsi="Arial" w:cs="Arial"/>
          <w:sz w:val="22"/>
          <w:szCs w:val="22"/>
          <w:lang w:val="es-EC" w:eastAsia="es-EC"/>
        </w:rPr>
        <w:t>s</w:t>
      </w:r>
      <w:r w:rsidR="00BC28E2" w:rsidRPr="00DD6FC3">
        <w:rPr>
          <w:rFonts w:ascii="Arial" w:hAnsi="Arial" w:cs="Arial"/>
          <w:sz w:val="22"/>
          <w:szCs w:val="22"/>
          <w:lang w:val="es-EC" w:eastAsia="es-EC"/>
        </w:rPr>
        <w:t xml:space="preserve"> compañías de servicios auxiliares no tengan información para reportar en una columna, </w:t>
      </w:r>
      <w:r w:rsidR="00DD6FC3" w:rsidRPr="00DD6FC3">
        <w:rPr>
          <w:rFonts w:ascii="Arial" w:hAnsi="Arial" w:cs="Arial"/>
          <w:sz w:val="22"/>
          <w:szCs w:val="22"/>
          <w:lang w:val="es-EC" w:eastAsia="es-EC"/>
        </w:rPr>
        <w:t>deberán reportar la columna con registros en blanco o vacía.</w:t>
      </w:r>
    </w:p>
    <w:p w:rsidR="00DD6FC3" w:rsidRDefault="00DD6FC3" w:rsidP="00CC25D4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 xml:space="preserve">La </w:t>
      </w:r>
      <w:r w:rsidR="00684976">
        <w:rPr>
          <w:rFonts w:ascii="Arial" w:hAnsi="Arial" w:cs="Arial"/>
          <w:sz w:val="22"/>
          <w:szCs w:val="22"/>
          <w:lang w:val="es-EC" w:eastAsia="es-EC"/>
        </w:rPr>
        <w:t xml:space="preserve">primera fila de la hoja de Excel deberá contener el nombre del “campo”. </w:t>
      </w:r>
    </w:p>
    <w:p w:rsidR="00684976" w:rsidRDefault="0055648D" w:rsidP="00CC25D4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A partir de la segunda fila</w:t>
      </w:r>
      <w:r w:rsidR="00684976">
        <w:rPr>
          <w:rFonts w:ascii="Arial" w:hAnsi="Arial" w:cs="Arial"/>
          <w:sz w:val="22"/>
          <w:szCs w:val="22"/>
          <w:lang w:val="es-EC" w:eastAsia="es-EC"/>
        </w:rPr>
        <w:t xml:space="preserve"> de la hoja de Excel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se deberá reportar </w:t>
      </w:r>
      <w:r w:rsidR="00684976">
        <w:rPr>
          <w:rFonts w:ascii="Arial" w:hAnsi="Arial" w:cs="Arial"/>
          <w:sz w:val="22"/>
          <w:szCs w:val="22"/>
          <w:lang w:val="es-EC" w:eastAsia="es-EC"/>
        </w:rPr>
        <w:t xml:space="preserve">el detalle de la información solicitada en cada campo. </w:t>
      </w:r>
    </w:p>
    <w:p w:rsidR="00125ADB" w:rsidRDefault="00125ADB" w:rsidP="00CC25D4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No utilizar separador de miles.</w:t>
      </w:r>
    </w:p>
    <w:p w:rsidR="00125ADB" w:rsidRDefault="00125ADB" w:rsidP="00CC25D4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El signo (,) será utilizado como separador de decimales, solo reportar hasta dos decimales.</w:t>
      </w:r>
    </w:p>
    <w:p w:rsidR="00125ADB" w:rsidRDefault="00125ADB" w:rsidP="00CC25D4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los campos</w:t>
      </w:r>
      <w:r w:rsidR="00C81276">
        <w:rPr>
          <w:rFonts w:ascii="Arial" w:hAnsi="Arial" w:cs="Arial"/>
          <w:sz w:val="22"/>
          <w:szCs w:val="22"/>
          <w:lang w:val="es-EC" w:eastAsia="es-EC"/>
        </w:rPr>
        <w:t xml:space="preserve"> que deben ser llenados con valores monetarios, </w:t>
      </w:r>
      <w:r>
        <w:rPr>
          <w:rFonts w:ascii="Arial" w:hAnsi="Arial" w:cs="Arial"/>
          <w:sz w:val="22"/>
          <w:szCs w:val="22"/>
          <w:lang w:val="es-EC" w:eastAsia="es-EC"/>
        </w:rPr>
        <w:t>no ingresar el signo $, solo ing</w:t>
      </w:r>
      <w:r w:rsidR="00EC688F">
        <w:rPr>
          <w:rFonts w:ascii="Arial" w:hAnsi="Arial" w:cs="Arial"/>
          <w:sz w:val="22"/>
          <w:szCs w:val="22"/>
          <w:lang w:val="es-EC" w:eastAsia="es-EC"/>
        </w:rPr>
        <w:t>resar el valor correspondiente.</w:t>
      </w:r>
    </w:p>
    <w:p w:rsidR="00905CB4" w:rsidRPr="00EC688F" w:rsidRDefault="00C81276" w:rsidP="00174C63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el campo 10</w:t>
      </w:r>
      <w:r w:rsidR="00125ADB">
        <w:rPr>
          <w:rFonts w:ascii="Arial" w:hAnsi="Arial" w:cs="Arial"/>
          <w:sz w:val="22"/>
          <w:szCs w:val="22"/>
          <w:lang w:val="es-EC" w:eastAsia="es-EC"/>
        </w:rPr>
        <w:t xml:space="preserve"> “Cargo en porcentaje”, no ingresar el signo %, solo in</w:t>
      </w:r>
      <w:r w:rsidR="00EC688F">
        <w:rPr>
          <w:rFonts w:ascii="Arial" w:hAnsi="Arial" w:cs="Arial"/>
          <w:sz w:val="22"/>
          <w:szCs w:val="22"/>
          <w:lang w:val="es-EC" w:eastAsia="es-EC"/>
        </w:rPr>
        <w:t xml:space="preserve">gresar el valor del cargo, </w:t>
      </w:r>
      <w:r w:rsidR="00125ADB">
        <w:rPr>
          <w:rFonts w:ascii="Arial" w:hAnsi="Arial" w:cs="Arial"/>
          <w:sz w:val="22"/>
          <w:szCs w:val="22"/>
          <w:lang w:val="es-EC" w:eastAsia="es-EC"/>
        </w:rPr>
        <w:t>por ejemplo:</w:t>
      </w:r>
      <w:r w:rsidR="0055648D">
        <w:rPr>
          <w:rFonts w:ascii="Arial" w:hAnsi="Arial" w:cs="Arial"/>
          <w:sz w:val="22"/>
          <w:szCs w:val="22"/>
          <w:lang w:val="es-EC" w:eastAsia="es-EC"/>
        </w:rPr>
        <w:t xml:space="preserve"> 0,10</w:t>
      </w:r>
      <w:r w:rsidR="00125ADB">
        <w:rPr>
          <w:rFonts w:ascii="Arial" w:hAnsi="Arial" w:cs="Arial"/>
          <w:sz w:val="22"/>
          <w:szCs w:val="22"/>
          <w:lang w:val="es-EC" w:eastAsia="es-EC"/>
        </w:rPr>
        <w:t xml:space="preserve"> que equivale al 10%.</w:t>
      </w:r>
    </w:p>
    <w:p w:rsidR="00905CB4" w:rsidRPr="00684976" w:rsidRDefault="00905CB4" w:rsidP="00174C63">
      <w:pPr>
        <w:spacing w:line="276" w:lineRule="auto"/>
        <w:jc w:val="both"/>
        <w:rPr>
          <w:rFonts w:cs="Arial"/>
          <w:b/>
          <w:sz w:val="22"/>
          <w:szCs w:val="22"/>
          <w:lang w:val="es-EC"/>
        </w:rPr>
      </w:pPr>
    </w:p>
    <w:tbl>
      <w:tblPr>
        <w:tblW w:w="7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364"/>
        <w:gridCol w:w="1528"/>
        <w:gridCol w:w="1780"/>
        <w:gridCol w:w="1154"/>
      </w:tblGrid>
      <w:tr w:rsidR="007A11DF" w:rsidRPr="00F026CF" w:rsidTr="002F695A">
        <w:trPr>
          <w:trHeight w:val="90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7A11DF" w:rsidRPr="00F026CF" w:rsidRDefault="007A11DF" w:rsidP="00174C63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No.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7A11DF" w:rsidRPr="00F026CF" w:rsidRDefault="007A11DF" w:rsidP="00174C63">
            <w:pPr>
              <w:spacing w:line="276" w:lineRule="auto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CAMPO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7A11DF" w:rsidRPr="00F026CF" w:rsidRDefault="007A11DF" w:rsidP="00174C63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TIPO DE DATO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7A11DF" w:rsidRPr="00F026CF" w:rsidRDefault="007A11DF" w:rsidP="00174C63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OBLIGATORIEDAD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7A11DF" w:rsidRPr="00F026CF" w:rsidRDefault="007A11DF" w:rsidP="00174C63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TABLA</w:t>
            </w:r>
          </w:p>
        </w:tc>
      </w:tr>
      <w:tr w:rsidR="008900E0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Código </w:t>
            </w:r>
            <w:r w:rsidRPr="00F026CF">
              <w:rPr>
                <w:rFonts w:cs="Arial"/>
                <w:sz w:val="18"/>
                <w:szCs w:val="18"/>
              </w:rPr>
              <w:t>entidad</w:t>
            </w:r>
            <w:r>
              <w:rPr>
                <w:rFonts w:cs="Arial"/>
                <w:sz w:val="18"/>
                <w:szCs w:val="18"/>
              </w:rPr>
              <w:t xml:space="preserve"> auxiliar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8900E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Numérico (4)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8F79B2" w:rsidRDefault="008900E0" w:rsidP="001E0DC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F79B2">
              <w:rPr>
                <w:rFonts w:cs="Arial"/>
                <w:sz w:val="18"/>
                <w:szCs w:val="18"/>
              </w:rPr>
              <w:t>Catastro SB</w:t>
            </w:r>
          </w:p>
        </w:tc>
      </w:tr>
      <w:tr w:rsidR="008900E0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Default="008900E0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Fecha de corte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8900E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Fecha (dd/mm/aaaa)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8900E0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 de calificación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7D2B54" w:rsidP="008900E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Numérico</w:t>
            </w:r>
            <w:r w:rsidR="008900E0">
              <w:rPr>
                <w:rFonts w:cs="Arial"/>
                <w:sz w:val="18"/>
                <w:szCs w:val="18"/>
              </w:rPr>
              <w:t xml:space="preserve"> (1</w:t>
            </w:r>
            <w:r w:rsidR="008900E0" w:rsidRPr="00F026C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Tabla A</w:t>
            </w:r>
          </w:p>
        </w:tc>
      </w:tr>
      <w:tr w:rsidR="008900E0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E0" w:rsidRPr="00F026CF" w:rsidRDefault="008900E0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Clase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de servicio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EC688F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Carácter</w:t>
            </w:r>
            <w:r w:rsidR="008900E0"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(2)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Tabla B</w:t>
            </w:r>
          </w:p>
        </w:tc>
      </w:tr>
      <w:tr w:rsidR="008900E0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Código del servicio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EC688F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arácter</w:t>
            </w:r>
            <w:r w:rsidR="008900E0"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(10)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B8450C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B8450C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Tabla 108 </w:t>
            </w:r>
          </w:p>
        </w:tc>
      </w:tr>
      <w:tr w:rsidR="008900E0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3D7BAE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Código entidad financiera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</w:t>
            </w:r>
            <w:r w:rsidR="00684976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4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Catastro SB</w:t>
            </w:r>
          </w:p>
        </w:tc>
      </w:tr>
      <w:tr w:rsidR="008900E0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E0" w:rsidRPr="00F026CF" w:rsidRDefault="008900E0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lastRenderedPageBreak/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E0" w:rsidRPr="00F026CF" w:rsidRDefault="008900E0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Número de transacciones</w:t>
            </w:r>
            <w:r w:rsidR="00C81276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facturadas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E0" w:rsidRPr="00F026CF" w:rsidRDefault="008900E0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(10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E0" w:rsidRPr="00F026CF" w:rsidRDefault="008900E0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E0" w:rsidRPr="00F026CF" w:rsidRDefault="008900E0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C81276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Número de transacciones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no facturables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AE684A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(10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AE684A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Cargo 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en 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dólares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(4,2)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B11E70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Cargo en porcentaje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DB428B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Default="00C81276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222839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Quién </w:t>
            </w:r>
            <w:r w:rsidR="00222839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asume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el cargo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Carácter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DB428B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Tabla C</w:t>
            </w: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Ingreso bruto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3F1F6E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Ingreso neto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3F1F6E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1E0DC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Base imponible (IVA)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3F1F6E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8127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76" w:rsidRPr="00F026CF" w:rsidRDefault="00C81276" w:rsidP="00B11E70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IVA pagado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8900E0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3F1F6E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6" w:rsidRPr="00F026CF" w:rsidRDefault="00C81276" w:rsidP="00174C6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</w:tbl>
    <w:p w:rsidR="007A11DF" w:rsidRDefault="006D45E3" w:rsidP="006D45E3">
      <w:pPr>
        <w:pStyle w:val="Prrafodelista"/>
        <w:spacing w:line="276" w:lineRule="auto"/>
        <w:ind w:left="567"/>
        <w:jc w:val="both"/>
        <w:rPr>
          <w:rFonts w:ascii="Arial" w:hAnsi="Arial" w:cs="Arial"/>
          <w:sz w:val="12"/>
          <w:szCs w:val="22"/>
          <w:lang w:val="es-EC" w:eastAsia="es-EC"/>
        </w:rPr>
      </w:pPr>
      <w:r w:rsidRPr="006D45E3">
        <w:rPr>
          <w:rFonts w:ascii="Arial" w:hAnsi="Arial" w:cs="Arial"/>
          <w:sz w:val="12"/>
          <w:szCs w:val="22"/>
          <w:lang w:val="es-EC" w:eastAsia="es-EC"/>
        </w:rPr>
        <w:t>*Obligatorio condicional, solo para los servicios que apliquen</w:t>
      </w:r>
    </w:p>
    <w:p w:rsidR="006D45E3" w:rsidRPr="0059431F" w:rsidRDefault="006D45E3" w:rsidP="006D45E3">
      <w:pPr>
        <w:pStyle w:val="Prrafodelista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es-EC" w:eastAsia="es-EC"/>
        </w:rPr>
      </w:pPr>
    </w:p>
    <w:p w:rsidR="00DD6FC3" w:rsidRPr="008900E0" w:rsidRDefault="008900E0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>
        <w:rPr>
          <w:rFonts w:ascii="Arial" w:hAnsi="Arial" w:cs="Arial"/>
          <w:b/>
          <w:sz w:val="22"/>
          <w:szCs w:val="22"/>
          <w:lang w:val="es-EC" w:eastAsia="es-EC"/>
        </w:rPr>
        <w:t xml:space="preserve">Código </w:t>
      </w:r>
      <w:r w:rsidR="00DD6FC3" w:rsidRPr="00B3301D">
        <w:rPr>
          <w:rFonts w:ascii="Arial" w:hAnsi="Arial" w:cs="Arial"/>
          <w:b/>
          <w:sz w:val="22"/>
          <w:szCs w:val="22"/>
          <w:lang w:val="es-EC" w:eastAsia="es-EC"/>
        </w:rPr>
        <w:t>entidad</w:t>
      </w:r>
      <w:r w:rsidR="00DD6FC3">
        <w:rPr>
          <w:rFonts w:ascii="Arial" w:hAnsi="Arial" w:cs="Arial"/>
          <w:b/>
          <w:sz w:val="22"/>
          <w:szCs w:val="22"/>
          <w:lang w:val="es-EC" w:eastAsia="es-EC"/>
        </w:rPr>
        <w:t xml:space="preserve"> auxiliar</w:t>
      </w:r>
      <w:r w:rsidR="00DD6FC3" w:rsidRPr="00B3301D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 w:rsidR="00DD6FC3" w:rsidRPr="00B3301D">
        <w:rPr>
          <w:rFonts w:ascii="Arial" w:hAnsi="Arial" w:cs="Arial"/>
          <w:sz w:val="22"/>
          <w:szCs w:val="22"/>
          <w:lang w:val="es-EC" w:eastAsia="es-EC"/>
        </w:rPr>
        <w:t>Codificación asignada por la Superintendencia de Bancos</w:t>
      </w:r>
      <w:r w:rsidR="00DD6FC3">
        <w:rPr>
          <w:rFonts w:ascii="Arial" w:hAnsi="Arial" w:cs="Arial"/>
          <w:sz w:val="22"/>
          <w:szCs w:val="22"/>
          <w:lang w:val="es-EC" w:eastAsia="es-EC"/>
        </w:rPr>
        <w:t xml:space="preserve">, cuya lista se encuentra publicada en la página web en </w:t>
      </w:r>
      <w:hyperlink r:id="rId6" w:history="1">
        <w:r w:rsidR="00DD6FC3" w:rsidRPr="002F695A">
          <w:rPr>
            <w:rStyle w:val="Hipervnculo"/>
            <w:rFonts w:ascii="Arial" w:hAnsi="Arial" w:cs="Arial"/>
            <w:sz w:val="22"/>
            <w:szCs w:val="22"/>
            <w:lang w:val="es-EC" w:eastAsia="es-EC"/>
          </w:rPr>
          <w:t>https://www.superbancos.gob.ec/bancos/catastro-publico/</w:t>
        </w:r>
      </w:hyperlink>
      <w:r w:rsidR="00DD6FC3">
        <w:rPr>
          <w:rFonts w:ascii="Arial" w:hAnsi="Arial" w:cs="Arial"/>
          <w:sz w:val="22"/>
          <w:szCs w:val="22"/>
          <w:lang w:val="es-EC" w:eastAsia="es-EC"/>
        </w:rPr>
        <w:t>, en la opción “catastro”.</w:t>
      </w:r>
      <w:r w:rsidR="00DD6FC3" w:rsidRPr="008A79F4">
        <w:rPr>
          <w:rFonts w:ascii="Arial" w:hAnsi="Arial" w:cs="Arial"/>
          <w:color w:val="FF0000"/>
          <w:sz w:val="22"/>
          <w:szCs w:val="22"/>
          <w:lang w:val="es-EC" w:eastAsia="es-EC"/>
        </w:rPr>
        <w:t xml:space="preserve"> </w:t>
      </w:r>
    </w:p>
    <w:p w:rsidR="008900E0" w:rsidRDefault="008900E0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val="es-EC" w:eastAsia="es-EC"/>
        </w:rPr>
        <w:t xml:space="preserve">Fecha de </w:t>
      </w:r>
      <w:r>
        <w:rPr>
          <w:rFonts w:ascii="Arial" w:hAnsi="Arial" w:cs="Arial"/>
          <w:b/>
          <w:sz w:val="22"/>
          <w:szCs w:val="22"/>
          <w:lang w:val="es-EC" w:eastAsia="es-EC"/>
        </w:rPr>
        <w:t>corte</w:t>
      </w:r>
      <w:r w:rsidRPr="00F026CF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 w:rsidRPr="00F026CF">
        <w:rPr>
          <w:rFonts w:ascii="Arial" w:hAnsi="Arial" w:cs="Arial"/>
          <w:sz w:val="22"/>
          <w:szCs w:val="22"/>
          <w:lang w:val="es-EC" w:eastAsia="es-EC"/>
        </w:rPr>
        <w:t xml:space="preserve">Fecha de corte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trimestral </w:t>
      </w:r>
      <w:r w:rsidRPr="00F026CF">
        <w:rPr>
          <w:rFonts w:ascii="Arial" w:hAnsi="Arial" w:cs="Arial"/>
          <w:sz w:val="22"/>
          <w:szCs w:val="22"/>
          <w:lang w:val="es-EC" w:eastAsia="es-EC"/>
        </w:rPr>
        <w:t>de la información e</w:t>
      </w:r>
      <w:r w:rsidR="0055648D">
        <w:rPr>
          <w:rFonts w:ascii="Arial" w:hAnsi="Arial" w:cs="Arial"/>
          <w:sz w:val="22"/>
          <w:szCs w:val="22"/>
          <w:lang w:val="es-EC" w:eastAsia="es-EC"/>
        </w:rPr>
        <w:t xml:space="preserve">nviada en el formato dd/mm/aaaa. </w:t>
      </w:r>
      <w:r w:rsidR="00D7457D"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 w:rsidR="0055648D">
        <w:rPr>
          <w:rFonts w:ascii="Arial" w:hAnsi="Arial" w:cs="Arial"/>
          <w:sz w:val="22"/>
          <w:szCs w:val="22"/>
          <w:lang w:val="es-EC" w:eastAsia="es-EC"/>
        </w:rPr>
        <w:t>Se debe reportar como fecha el último día calendario, y NO el último día hábil del trimestre.  El signo utilizado como separador de la fecha reportada deberá ser únicamente el signo “/”</w:t>
      </w:r>
      <w:r w:rsidR="00645A85">
        <w:rPr>
          <w:rFonts w:ascii="Arial" w:hAnsi="Arial" w:cs="Arial"/>
          <w:sz w:val="22"/>
          <w:szCs w:val="22"/>
          <w:lang w:val="es-EC" w:eastAsia="es-EC"/>
        </w:rPr>
        <w:t>, sin espacios entre el signo y el número</w:t>
      </w:r>
      <w:r w:rsidR="0055648D">
        <w:rPr>
          <w:rFonts w:ascii="Arial" w:hAnsi="Arial" w:cs="Arial"/>
          <w:sz w:val="22"/>
          <w:szCs w:val="22"/>
          <w:lang w:val="es-EC" w:eastAsia="es-EC"/>
        </w:rPr>
        <w:t xml:space="preserve">. </w:t>
      </w:r>
    </w:p>
    <w:p w:rsidR="007F242A" w:rsidRDefault="008900E0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7F242A">
        <w:rPr>
          <w:rFonts w:ascii="Arial" w:hAnsi="Arial" w:cs="Arial"/>
          <w:b/>
          <w:sz w:val="22"/>
          <w:szCs w:val="22"/>
          <w:lang w:val="es-EC" w:eastAsia="es-EC"/>
        </w:rPr>
        <w:t>Tipo de Calificación.-</w:t>
      </w:r>
      <w:r w:rsidRPr="007F242A"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 w:rsidR="007F242A">
        <w:rPr>
          <w:rFonts w:ascii="Arial" w:hAnsi="Arial" w:cs="Arial"/>
          <w:sz w:val="22"/>
          <w:szCs w:val="22"/>
          <w:lang w:val="es-EC" w:eastAsia="es-EC"/>
        </w:rPr>
        <w:t>In</w:t>
      </w:r>
      <w:r w:rsidR="00D7457D">
        <w:rPr>
          <w:rFonts w:ascii="Arial" w:hAnsi="Arial" w:cs="Arial"/>
          <w:sz w:val="22"/>
          <w:szCs w:val="22"/>
          <w:lang w:val="es-EC" w:eastAsia="es-EC"/>
        </w:rPr>
        <w:t xml:space="preserve">gresar el tipo de calificación </w:t>
      </w:r>
      <w:r w:rsidR="007F242A">
        <w:rPr>
          <w:rFonts w:ascii="Arial" w:hAnsi="Arial" w:cs="Arial"/>
          <w:sz w:val="22"/>
          <w:szCs w:val="22"/>
          <w:lang w:val="es-EC" w:eastAsia="es-EC"/>
        </w:rPr>
        <w:t xml:space="preserve">a la que se puede relacionar el servicio prestado por la compañía de servicios auxiliares, de acuerdo a la calificación obtenida considerando </w:t>
      </w:r>
      <w:r w:rsidR="00D7457D">
        <w:rPr>
          <w:rFonts w:ascii="Arial" w:hAnsi="Arial" w:cs="Arial"/>
          <w:sz w:val="22"/>
          <w:szCs w:val="22"/>
          <w:lang w:val="es-EC" w:eastAsia="es-EC"/>
        </w:rPr>
        <w:t xml:space="preserve">lo </w:t>
      </w:r>
      <w:r w:rsidR="007F242A">
        <w:rPr>
          <w:rFonts w:ascii="Arial" w:hAnsi="Arial" w:cs="Arial"/>
          <w:sz w:val="22"/>
          <w:szCs w:val="22"/>
          <w:lang w:val="es-EC" w:eastAsia="es-EC"/>
        </w:rPr>
        <w:t>establecido por la Junta de Política y Regulación Monetar</w:t>
      </w:r>
      <w:r w:rsidR="00D7457D">
        <w:rPr>
          <w:rFonts w:ascii="Arial" w:hAnsi="Arial" w:cs="Arial"/>
          <w:sz w:val="22"/>
          <w:szCs w:val="22"/>
          <w:lang w:val="es-EC" w:eastAsia="es-EC"/>
        </w:rPr>
        <w:t>ia y Financiera a través de la R</w:t>
      </w:r>
      <w:r w:rsidR="007F242A">
        <w:rPr>
          <w:rFonts w:ascii="Arial" w:hAnsi="Arial" w:cs="Arial"/>
          <w:sz w:val="22"/>
          <w:szCs w:val="22"/>
          <w:lang w:val="es-EC" w:eastAsia="es-EC"/>
        </w:rPr>
        <w:t>esolución No. 382-2017-F</w:t>
      </w:r>
      <w:r w:rsidR="00D7457D">
        <w:rPr>
          <w:rFonts w:ascii="Arial" w:hAnsi="Arial" w:cs="Arial"/>
          <w:sz w:val="22"/>
          <w:szCs w:val="22"/>
          <w:lang w:val="es-EC" w:eastAsia="es-EC"/>
        </w:rPr>
        <w:t xml:space="preserve"> de 22 de mayo de 2017</w:t>
      </w:r>
      <w:r w:rsidR="007F242A">
        <w:rPr>
          <w:rFonts w:ascii="Arial" w:hAnsi="Arial" w:cs="Arial"/>
          <w:sz w:val="22"/>
          <w:szCs w:val="22"/>
          <w:lang w:val="es-EC" w:eastAsia="es-EC"/>
        </w:rPr>
        <w:t xml:space="preserve">. (Tabla A) </w:t>
      </w:r>
    </w:p>
    <w:p w:rsidR="008A79F4" w:rsidRPr="007F242A" w:rsidRDefault="004F63E3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7F242A">
        <w:rPr>
          <w:rFonts w:ascii="Arial" w:hAnsi="Arial" w:cs="Arial"/>
          <w:b/>
          <w:sz w:val="22"/>
          <w:szCs w:val="22"/>
          <w:lang w:val="es-EC" w:eastAsia="es-EC"/>
        </w:rPr>
        <w:t>Clase</w:t>
      </w:r>
      <w:r w:rsidR="007A11DF" w:rsidRPr="007F242A">
        <w:rPr>
          <w:rFonts w:ascii="Arial" w:hAnsi="Arial" w:cs="Arial"/>
          <w:b/>
          <w:sz w:val="22"/>
          <w:szCs w:val="22"/>
          <w:lang w:val="es-EC" w:eastAsia="es-EC"/>
        </w:rPr>
        <w:t xml:space="preserve"> de servicio.- </w:t>
      </w:r>
      <w:r w:rsidRPr="007F242A">
        <w:rPr>
          <w:rFonts w:ascii="Arial" w:hAnsi="Arial" w:cs="Arial"/>
          <w:sz w:val="22"/>
          <w:szCs w:val="22"/>
          <w:lang w:val="es-EC" w:eastAsia="es-EC"/>
        </w:rPr>
        <w:t>Corresponde a la clasificación de los servicios financieros establecida por la Junta de Política y Re</w:t>
      </w:r>
      <w:r w:rsidR="008A79F4" w:rsidRPr="007F242A">
        <w:rPr>
          <w:rFonts w:ascii="Arial" w:hAnsi="Arial" w:cs="Arial"/>
          <w:sz w:val="22"/>
          <w:szCs w:val="22"/>
          <w:lang w:val="es-EC" w:eastAsia="es-EC"/>
        </w:rPr>
        <w:t>gulación Monetaria y Financiera, solo se reportarán los servicios con cargo básico, máximo y diferenciado</w:t>
      </w:r>
      <w:r w:rsidR="000D3639" w:rsidRPr="007F242A">
        <w:rPr>
          <w:rFonts w:ascii="Arial" w:hAnsi="Arial" w:cs="Arial"/>
          <w:sz w:val="22"/>
          <w:szCs w:val="22"/>
          <w:lang w:val="es-EC" w:eastAsia="es-EC"/>
        </w:rPr>
        <w:t xml:space="preserve">, sin considerar que el cargo sea asumido por el usuario o por la entidad financiera. </w:t>
      </w:r>
      <w:r w:rsidR="008A79F4" w:rsidRPr="007F242A">
        <w:rPr>
          <w:rFonts w:ascii="Arial" w:hAnsi="Arial" w:cs="Arial"/>
          <w:sz w:val="22"/>
          <w:szCs w:val="22"/>
          <w:lang w:val="es-EC" w:eastAsia="es-EC"/>
        </w:rPr>
        <w:t>(Tabla B)</w:t>
      </w:r>
    </w:p>
    <w:p w:rsidR="007A11DF" w:rsidRPr="003D7BAE" w:rsidRDefault="004F63E3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>
        <w:rPr>
          <w:rFonts w:ascii="Arial" w:hAnsi="Arial" w:cs="Arial"/>
          <w:b/>
          <w:sz w:val="22"/>
          <w:szCs w:val="22"/>
          <w:lang w:val="es-EC" w:eastAsia="es-EC"/>
        </w:rPr>
        <w:t xml:space="preserve">Código del servicio.- </w:t>
      </w:r>
      <w:r w:rsidR="007A11DF" w:rsidRPr="00F026CF">
        <w:rPr>
          <w:rFonts w:ascii="Arial" w:hAnsi="Arial" w:cs="Arial"/>
          <w:sz w:val="22"/>
          <w:szCs w:val="22"/>
          <w:lang w:val="es-EC" w:eastAsia="es-EC"/>
        </w:rPr>
        <w:t xml:space="preserve">Corresponde al código del servicio </w:t>
      </w:r>
      <w:r w:rsidR="00D2114B">
        <w:rPr>
          <w:rFonts w:ascii="Arial" w:hAnsi="Arial" w:cs="Arial"/>
          <w:sz w:val="22"/>
          <w:szCs w:val="22"/>
          <w:lang w:val="es-EC" w:eastAsia="es-EC"/>
        </w:rPr>
        <w:t>que ha</w:t>
      </w:r>
      <w:r w:rsidR="00B11E70">
        <w:rPr>
          <w:rFonts w:ascii="Arial" w:hAnsi="Arial" w:cs="Arial"/>
          <w:sz w:val="22"/>
          <w:szCs w:val="22"/>
          <w:lang w:val="es-EC" w:eastAsia="es-EC"/>
        </w:rPr>
        <w:t xml:space="preserve"> sido prestado por la compañía d</w:t>
      </w:r>
      <w:r w:rsidR="00D2114B">
        <w:rPr>
          <w:rFonts w:ascii="Arial" w:hAnsi="Arial" w:cs="Arial"/>
          <w:sz w:val="22"/>
          <w:szCs w:val="22"/>
          <w:lang w:val="es-EC" w:eastAsia="es-EC"/>
        </w:rPr>
        <w:t xml:space="preserve">e servicios auxiliares. </w:t>
      </w:r>
      <w:r w:rsidR="00D7457D"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Todos los </w:t>
      </w:r>
      <w:r w:rsidR="008A79F4">
        <w:rPr>
          <w:rFonts w:ascii="Arial" w:hAnsi="Arial" w:cs="Arial"/>
          <w:sz w:val="22"/>
          <w:szCs w:val="22"/>
          <w:lang w:val="es-EC" w:eastAsia="es-EC"/>
        </w:rPr>
        <w:t xml:space="preserve">códigos de los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servicios autorizados </w:t>
      </w:r>
      <w:r w:rsidR="0018339C">
        <w:rPr>
          <w:rFonts w:ascii="Arial" w:hAnsi="Arial" w:cs="Arial"/>
          <w:sz w:val="22"/>
          <w:szCs w:val="22"/>
          <w:lang w:val="es-EC" w:eastAsia="es-EC"/>
        </w:rPr>
        <w:t>se encuentran detallados en la T</w:t>
      </w:r>
      <w:r>
        <w:rPr>
          <w:rFonts w:ascii="Arial" w:hAnsi="Arial" w:cs="Arial"/>
          <w:sz w:val="22"/>
          <w:szCs w:val="22"/>
          <w:lang w:val="es-EC" w:eastAsia="es-EC"/>
        </w:rPr>
        <w:t>abla 108, publicada en la página web d</w:t>
      </w:r>
      <w:r w:rsidR="003D7BAE">
        <w:rPr>
          <w:rFonts w:ascii="Arial" w:hAnsi="Arial" w:cs="Arial"/>
          <w:sz w:val="22"/>
          <w:szCs w:val="22"/>
          <w:lang w:val="es-EC" w:eastAsia="es-EC"/>
        </w:rPr>
        <w:t xml:space="preserve">e la Superintendencia de Bancos, en la siguiente dirección: </w:t>
      </w:r>
      <w:hyperlink r:id="rId7" w:history="1">
        <w:r w:rsidR="003D7BAE" w:rsidRPr="002F695A">
          <w:rPr>
            <w:rStyle w:val="Hipervnculo"/>
            <w:rFonts w:ascii="Arial" w:hAnsi="Arial" w:cs="Arial"/>
            <w:sz w:val="22"/>
            <w:szCs w:val="22"/>
            <w:lang w:val="es-EC" w:eastAsia="es-EC"/>
          </w:rPr>
          <w:t>https://www.superbancos.gob.ec/bancos/manuales-de-reporte/</w:t>
        </w:r>
      </w:hyperlink>
      <w:r w:rsidR="003D7BAE">
        <w:rPr>
          <w:rFonts w:ascii="Arial" w:hAnsi="Arial" w:cs="Arial"/>
          <w:sz w:val="22"/>
          <w:szCs w:val="22"/>
          <w:lang w:val="es-EC" w:eastAsia="es-EC"/>
        </w:rPr>
        <w:t xml:space="preserve">  “Tabla 108 tipo de servicios”</w:t>
      </w:r>
      <w:r w:rsidR="0059431F">
        <w:rPr>
          <w:rFonts w:ascii="Arial" w:hAnsi="Arial" w:cs="Arial"/>
          <w:sz w:val="22"/>
          <w:szCs w:val="22"/>
          <w:lang w:val="es-EC" w:eastAsia="es-EC"/>
        </w:rPr>
        <w:t>.</w:t>
      </w:r>
    </w:p>
    <w:p w:rsidR="003D7BAE" w:rsidRDefault="003D7BAE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59431F">
        <w:rPr>
          <w:rFonts w:ascii="Arial" w:hAnsi="Arial" w:cs="Arial"/>
          <w:sz w:val="22"/>
          <w:szCs w:val="22"/>
          <w:lang w:val="es-EC" w:eastAsia="es-EC"/>
        </w:rPr>
        <w:t xml:space="preserve">Los códigos de los servicios financieros básicos </w:t>
      </w:r>
      <w:r w:rsidR="00B11E70" w:rsidRPr="0059431F">
        <w:rPr>
          <w:rFonts w:ascii="Arial" w:hAnsi="Arial" w:cs="Arial"/>
          <w:sz w:val="22"/>
          <w:szCs w:val="22"/>
          <w:lang w:val="es-EC" w:eastAsia="es-EC"/>
        </w:rPr>
        <w:t>y</w:t>
      </w:r>
      <w:r w:rsidRPr="0059431F">
        <w:rPr>
          <w:rFonts w:ascii="Arial" w:hAnsi="Arial" w:cs="Arial"/>
          <w:sz w:val="22"/>
          <w:szCs w:val="22"/>
          <w:lang w:val="es-EC" w:eastAsia="es-EC"/>
        </w:rPr>
        <w:t xml:space="preserve"> máximos aplican para todas las entidades financieras.</w:t>
      </w:r>
    </w:p>
    <w:p w:rsidR="003D7BAE" w:rsidRDefault="003D7BAE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 xml:space="preserve">Los códigos de los servicios financieros con cargo diferenciado son individuales para cada entidad financiera, por lo tanto el código a reportar debe </w:t>
      </w:r>
      <w:r>
        <w:rPr>
          <w:rFonts w:ascii="Arial" w:hAnsi="Arial" w:cs="Arial"/>
          <w:sz w:val="22"/>
          <w:szCs w:val="22"/>
          <w:lang w:val="es-EC" w:eastAsia="es-EC"/>
        </w:rPr>
        <w:lastRenderedPageBreak/>
        <w:t>corresponder al establecido a la entidad financiera para quien la compañía de servicios auxiliares está prestando el servicio.</w:t>
      </w:r>
    </w:p>
    <w:p w:rsidR="000D3639" w:rsidRDefault="000D3639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Si la compañía de servicios auxiliares presta servicios que no s</w:t>
      </w:r>
      <w:r w:rsidR="0059431F">
        <w:rPr>
          <w:rFonts w:ascii="Arial" w:hAnsi="Arial" w:cs="Arial"/>
          <w:sz w:val="22"/>
          <w:szCs w:val="22"/>
          <w:lang w:val="es-EC" w:eastAsia="es-EC"/>
        </w:rPr>
        <w:t>e encuentran catalogados en la T</w:t>
      </w:r>
      <w:r>
        <w:rPr>
          <w:rFonts w:ascii="Arial" w:hAnsi="Arial" w:cs="Arial"/>
          <w:sz w:val="22"/>
          <w:szCs w:val="22"/>
          <w:lang w:val="es-EC" w:eastAsia="es-EC"/>
        </w:rPr>
        <w:t>abla 108, debe reportarlos de acuerdo al formato establecido en la Parte II</w:t>
      </w:r>
      <w:r w:rsidR="0059431F">
        <w:rPr>
          <w:rFonts w:ascii="Arial" w:hAnsi="Arial" w:cs="Arial"/>
          <w:sz w:val="22"/>
          <w:szCs w:val="22"/>
          <w:lang w:val="es-EC" w:eastAsia="es-EC"/>
        </w:rPr>
        <w:t xml:space="preserve"> de este formulario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 w:rsidRPr="0059431F">
        <w:rPr>
          <w:rFonts w:ascii="Arial" w:hAnsi="Arial" w:cs="Arial"/>
          <w:b/>
          <w:sz w:val="22"/>
          <w:szCs w:val="22"/>
          <w:lang w:val="es-EC" w:eastAsia="es-EC"/>
        </w:rPr>
        <w:t>“Campos del formulario para servicios no catalogados”</w:t>
      </w:r>
      <w:r>
        <w:rPr>
          <w:rFonts w:ascii="Arial" w:hAnsi="Arial" w:cs="Arial"/>
          <w:sz w:val="22"/>
          <w:szCs w:val="22"/>
          <w:lang w:val="es-EC" w:eastAsia="es-EC"/>
        </w:rPr>
        <w:t>.</w:t>
      </w:r>
    </w:p>
    <w:p w:rsidR="004F63E3" w:rsidRPr="00A325BC" w:rsidRDefault="003D7BAE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>
        <w:rPr>
          <w:rFonts w:ascii="Arial" w:hAnsi="Arial" w:cs="Arial"/>
          <w:b/>
          <w:sz w:val="22"/>
          <w:szCs w:val="22"/>
          <w:lang w:val="es-EC" w:eastAsia="es-EC"/>
        </w:rPr>
        <w:t xml:space="preserve">Código entidad financiera.-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Corresponde al código de la entidad financiera a través de la cual la compañía de servicios auxiliares presta el servicio. </w:t>
      </w:r>
      <w:r w:rsidR="0059431F"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El código de la entidad puede ser consultado en el catastro público de la página web de la Superintendencia de Bancos, </w:t>
      </w:r>
      <w:r w:rsidR="00943695">
        <w:rPr>
          <w:rFonts w:ascii="Arial" w:hAnsi="Arial" w:cs="Arial"/>
          <w:sz w:val="22"/>
          <w:szCs w:val="22"/>
          <w:lang w:val="es-EC" w:eastAsia="es-EC"/>
        </w:rPr>
        <w:t xml:space="preserve">buscando por el nombre de la entidad financiera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en la siguiente dirección: </w:t>
      </w:r>
      <w:hyperlink r:id="rId8" w:history="1">
        <w:r w:rsidR="00943695" w:rsidRPr="001A6735">
          <w:rPr>
            <w:rStyle w:val="Hipervnculo"/>
            <w:rFonts w:ascii="Arial" w:hAnsi="Arial" w:cs="Arial"/>
            <w:sz w:val="22"/>
            <w:szCs w:val="22"/>
            <w:lang w:val="es-EC" w:eastAsia="es-EC"/>
          </w:rPr>
          <w:t>https://www.superbancos.gob.ec/bancos/catastro-publico/#</w:t>
        </w:r>
      </w:hyperlink>
      <w:r w:rsidR="00943695">
        <w:rPr>
          <w:rFonts w:ascii="Arial" w:hAnsi="Arial" w:cs="Arial"/>
          <w:sz w:val="22"/>
          <w:szCs w:val="22"/>
          <w:lang w:val="es-EC" w:eastAsia="es-EC"/>
        </w:rPr>
        <w:t xml:space="preserve"> .  </w:t>
      </w:r>
    </w:p>
    <w:p w:rsidR="00E51C03" w:rsidRDefault="00A325BC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l</w:t>
      </w:r>
      <w:r w:rsidR="00E51C03">
        <w:rPr>
          <w:rFonts w:ascii="Arial" w:hAnsi="Arial" w:cs="Arial"/>
          <w:sz w:val="22"/>
          <w:szCs w:val="22"/>
          <w:lang w:val="es-EC" w:eastAsia="es-EC"/>
        </w:rPr>
        <w:t>os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caso</w:t>
      </w:r>
      <w:r w:rsidR="00E51C03">
        <w:rPr>
          <w:rFonts w:ascii="Arial" w:hAnsi="Arial" w:cs="Arial"/>
          <w:sz w:val="22"/>
          <w:szCs w:val="22"/>
          <w:lang w:val="es-EC" w:eastAsia="es-EC"/>
        </w:rPr>
        <w:t>s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de que </w:t>
      </w:r>
      <w:r w:rsidR="00C661A9">
        <w:rPr>
          <w:rFonts w:ascii="Arial" w:hAnsi="Arial" w:cs="Arial"/>
          <w:sz w:val="22"/>
          <w:szCs w:val="22"/>
          <w:lang w:val="es-EC" w:eastAsia="es-EC"/>
        </w:rPr>
        <w:t>el servicio financiero no sea prestado a t</w:t>
      </w:r>
      <w:r w:rsidR="00E51C03">
        <w:rPr>
          <w:rFonts w:ascii="Arial" w:hAnsi="Arial" w:cs="Arial"/>
          <w:sz w:val="22"/>
          <w:szCs w:val="22"/>
          <w:lang w:val="es-EC" w:eastAsia="es-EC"/>
        </w:rPr>
        <w:t>ravés de una entidad financiera:</w:t>
      </w:r>
    </w:p>
    <w:p w:rsidR="00A325BC" w:rsidRDefault="00E51C03" w:rsidP="0059431F">
      <w:pPr>
        <w:pStyle w:val="Prrafodelista"/>
        <w:numPr>
          <w:ilvl w:val="0"/>
          <w:numId w:val="5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Cuando</w:t>
      </w:r>
      <w:r w:rsidR="00C661A9">
        <w:rPr>
          <w:rFonts w:ascii="Arial" w:hAnsi="Arial" w:cs="Arial"/>
          <w:sz w:val="22"/>
          <w:szCs w:val="22"/>
          <w:lang w:val="es-EC" w:eastAsia="es-EC"/>
        </w:rPr>
        <w:t xml:space="preserve"> las compañías de servicios auxiliares </w:t>
      </w:r>
      <w:r>
        <w:rPr>
          <w:rFonts w:ascii="Arial" w:hAnsi="Arial" w:cs="Arial"/>
          <w:sz w:val="22"/>
          <w:szCs w:val="22"/>
          <w:lang w:val="es-EC" w:eastAsia="es-EC"/>
        </w:rPr>
        <w:t>pres</w:t>
      </w:r>
      <w:r w:rsidR="0059431F">
        <w:rPr>
          <w:rFonts w:ascii="Arial" w:hAnsi="Arial" w:cs="Arial"/>
          <w:sz w:val="22"/>
          <w:szCs w:val="22"/>
          <w:lang w:val="es-EC" w:eastAsia="es-EC"/>
        </w:rPr>
        <w:t xml:space="preserve">tan por sí mismos el servicio, por </w:t>
      </w:r>
      <w:r>
        <w:rPr>
          <w:rFonts w:ascii="Arial" w:hAnsi="Arial" w:cs="Arial"/>
          <w:sz w:val="22"/>
          <w:szCs w:val="22"/>
          <w:lang w:val="es-EC" w:eastAsia="es-EC"/>
        </w:rPr>
        <w:t>ejemplo</w:t>
      </w:r>
      <w:r w:rsidR="0059431F">
        <w:rPr>
          <w:rFonts w:ascii="Arial" w:hAnsi="Arial" w:cs="Arial"/>
          <w:sz w:val="22"/>
          <w:szCs w:val="22"/>
          <w:lang w:val="es-EC" w:eastAsia="es-EC"/>
        </w:rPr>
        <w:t xml:space="preserve"> (</w:t>
      </w:r>
      <w:r>
        <w:rPr>
          <w:rFonts w:ascii="Arial" w:hAnsi="Arial" w:cs="Arial"/>
          <w:sz w:val="22"/>
          <w:szCs w:val="22"/>
          <w:lang w:val="es-EC" w:eastAsia="es-EC"/>
        </w:rPr>
        <w:t>caso de compra de cartera</w:t>
      </w:r>
      <w:r w:rsidR="00B11E70">
        <w:rPr>
          <w:rFonts w:ascii="Arial" w:hAnsi="Arial" w:cs="Arial"/>
          <w:sz w:val="22"/>
          <w:szCs w:val="22"/>
          <w:lang w:val="es-EC" w:eastAsia="es-EC"/>
        </w:rPr>
        <w:t xml:space="preserve"> y otros casos que aplique</w:t>
      </w:r>
      <w:r w:rsidR="008F79B2">
        <w:rPr>
          <w:rFonts w:ascii="Arial" w:hAnsi="Arial" w:cs="Arial"/>
          <w:sz w:val="22"/>
          <w:szCs w:val="22"/>
          <w:lang w:val="es-EC" w:eastAsia="es-EC"/>
        </w:rPr>
        <w:t>n</w:t>
      </w:r>
      <w:r>
        <w:rPr>
          <w:rFonts w:ascii="Arial" w:hAnsi="Arial" w:cs="Arial"/>
          <w:sz w:val="22"/>
          <w:szCs w:val="22"/>
          <w:lang w:val="es-EC" w:eastAsia="es-EC"/>
        </w:rPr>
        <w:t xml:space="preserve">) </w:t>
      </w:r>
      <w:r w:rsidR="00C661A9">
        <w:rPr>
          <w:rFonts w:ascii="Arial" w:hAnsi="Arial" w:cs="Arial"/>
          <w:sz w:val="22"/>
          <w:szCs w:val="22"/>
          <w:lang w:val="es-EC" w:eastAsia="es-EC"/>
        </w:rPr>
        <w:t xml:space="preserve">el código de éste campo será </w:t>
      </w:r>
      <w:r>
        <w:rPr>
          <w:rFonts w:ascii="Arial" w:hAnsi="Arial" w:cs="Arial"/>
          <w:sz w:val="22"/>
          <w:szCs w:val="22"/>
          <w:lang w:val="es-EC" w:eastAsia="es-EC"/>
        </w:rPr>
        <w:t>el código de la compañía de servicios auxiliares.</w:t>
      </w:r>
    </w:p>
    <w:p w:rsidR="00E51C03" w:rsidRDefault="00E51C03" w:rsidP="0059431F">
      <w:pPr>
        <w:pStyle w:val="Prrafodelista"/>
        <w:numPr>
          <w:ilvl w:val="0"/>
          <w:numId w:val="5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Cuando las compañías de servicios auxiliares prestan el servicio a terceros, es decir a personas naturales o jurídicas que no pertenecen al sistema financiero, deberán reportar el número de RUC de dichas personas.</w:t>
      </w:r>
    </w:p>
    <w:p w:rsidR="00281C47" w:rsidRPr="00C81276" w:rsidRDefault="007A11DF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val="es-EC" w:eastAsia="es-EC"/>
        </w:rPr>
        <w:t>Número de transacciones</w:t>
      </w:r>
      <w:r w:rsidR="00C661A9">
        <w:rPr>
          <w:rFonts w:ascii="Arial" w:hAnsi="Arial" w:cs="Arial"/>
          <w:b/>
          <w:sz w:val="22"/>
          <w:szCs w:val="22"/>
          <w:lang w:val="es-EC" w:eastAsia="es-EC"/>
        </w:rPr>
        <w:t xml:space="preserve"> realizadas y </w:t>
      </w:r>
      <w:r w:rsidR="00C03BA5">
        <w:rPr>
          <w:rFonts w:ascii="Arial" w:hAnsi="Arial" w:cs="Arial"/>
          <w:b/>
          <w:sz w:val="22"/>
          <w:szCs w:val="22"/>
          <w:lang w:val="es-EC" w:eastAsia="es-EC"/>
        </w:rPr>
        <w:t>facturadas</w:t>
      </w:r>
      <w:r w:rsidRPr="00F026CF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 w:rsidR="00C03BA5">
        <w:rPr>
          <w:rFonts w:ascii="Arial" w:hAnsi="Arial" w:cs="Arial"/>
          <w:sz w:val="22"/>
          <w:szCs w:val="22"/>
          <w:lang w:val="es-EC" w:eastAsia="es-EC"/>
        </w:rPr>
        <w:t xml:space="preserve">Se refiere al conteo </w:t>
      </w:r>
      <w:r w:rsidRPr="00F026CF">
        <w:rPr>
          <w:rFonts w:ascii="Arial" w:hAnsi="Arial" w:cs="Arial"/>
          <w:sz w:val="22"/>
          <w:szCs w:val="22"/>
          <w:lang w:val="es-EC" w:eastAsia="es-EC"/>
        </w:rPr>
        <w:t>de todas las transacciones</w:t>
      </w:r>
      <w:r w:rsidR="00C661A9">
        <w:rPr>
          <w:rFonts w:ascii="Arial" w:hAnsi="Arial" w:cs="Arial"/>
          <w:sz w:val="22"/>
          <w:szCs w:val="22"/>
          <w:lang w:val="es-EC" w:eastAsia="es-EC"/>
        </w:rPr>
        <w:t xml:space="preserve"> ejecutadas </w:t>
      </w:r>
      <w:r w:rsidR="002E75FD">
        <w:rPr>
          <w:rFonts w:ascii="Arial" w:hAnsi="Arial" w:cs="Arial"/>
          <w:sz w:val="22"/>
          <w:szCs w:val="22"/>
          <w:lang w:val="es-EC" w:eastAsia="es-EC"/>
        </w:rPr>
        <w:t xml:space="preserve">en el trimestre </w:t>
      </w:r>
      <w:r w:rsidR="00C661A9">
        <w:rPr>
          <w:rFonts w:ascii="Arial" w:hAnsi="Arial" w:cs="Arial"/>
          <w:sz w:val="22"/>
          <w:szCs w:val="22"/>
          <w:lang w:val="es-EC" w:eastAsia="es-EC"/>
        </w:rPr>
        <w:t>por la c</w:t>
      </w:r>
      <w:r w:rsidR="000D3639">
        <w:rPr>
          <w:rFonts w:ascii="Arial" w:hAnsi="Arial" w:cs="Arial"/>
          <w:sz w:val="22"/>
          <w:szCs w:val="22"/>
          <w:lang w:val="es-EC" w:eastAsia="es-EC"/>
        </w:rPr>
        <w:t>ompañía d</w:t>
      </w:r>
      <w:r w:rsidR="00281C47">
        <w:rPr>
          <w:rFonts w:ascii="Arial" w:hAnsi="Arial" w:cs="Arial"/>
          <w:sz w:val="22"/>
          <w:szCs w:val="22"/>
          <w:lang w:val="es-EC" w:eastAsia="es-EC"/>
        </w:rPr>
        <w:t>e servicios auxiliares, por las cuales recibió o r</w:t>
      </w:r>
      <w:r w:rsidR="000D3639">
        <w:rPr>
          <w:rFonts w:ascii="Arial" w:hAnsi="Arial" w:cs="Arial"/>
          <w:sz w:val="22"/>
          <w:szCs w:val="22"/>
          <w:lang w:val="es-EC" w:eastAsia="es-EC"/>
        </w:rPr>
        <w:t>ecibirá el pago correspondiente.</w:t>
      </w:r>
      <w:r w:rsidR="00C03BA5"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 w:rsidR="00C81276">
        <w:rPr>
          <w:rFonts w:ascii="Arial" w:hAnsi="Arial" w:cs="Arial"/>
          <w:sz w:val="22"/>
          <w:szCs w:val="22"/>
          <w:lang w:val="es-EC" w:eastAsia="es-EC"/>
        </w:rPr>
        <w:t xml:space="preserve"> </w:t>
      </w:r>
    </w:p>
    <w:p w:rsidR="00C03BA5" w:rsidRPr="00C81276" w:rsidRDefault="00C03BA5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val="es-EC" w:eastAsia="es-EC"/>
        </w:rPr>
        <w:t>Número de transacciones</w:t>
      </w:r>
      <w:r>
        <w:rPr>
          <w:rFonts w:ascii="Arial" w:hAnsi="Arial" w:cs="Arial"/>
          <w:b/>
          <w:sz w:val="22"/>
          <w:szCs w:val="22"/>
          <w:lang w:val="es-EC" w:eastAsia="es-EC"/>
        </w:rPr>
        <w:t xml:space="preserve"> realizadas y no facturables</w:t>
      </w:r>
      <w:r w:rsidRPr="00F026CF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 w:rsidRPr="00F026CF">
        <w:rPr>
          <w:rFonts w:ascii="Arial" w:hAnsi="Arial" w:cs="Arial"/>
          <w:sz w:val="22"/>
          <w:szCs w:val="22"/>
          <w:lang w:val="es-EC" w:eastAsia="es-EC"/>
        </w:rPr>
        <w:t xml:space="preserve">Se refiere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al conteo </w:t>
      </w:r>
      <w:r w:rsidRPr="00F026CF">
        <w:rPr>
          <w:rFonts w:ascii="Arial" w:hAnsi="Arial" w:cs="Arial"/>
          <w:sz w:val="22"/>
          <w:szCs w:val="22"/>
          <w:lang w:val="es-EC" w:eastAsia="es-EC"/>
        </w:rPr>
        <w:t>de todas las transacciones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ejecutadas </w:t>
      </w:r>
      <w:r w:rsidR="002E75FD">
        <w:rPr>
          <w:rFonts w:ascii="Arial" w:hAnsi="Arial" w:cs="Arial"/>
          <w:sz w:val="22"/>
          <w:szCs w:val="22"/>
          <w:lang w:val="es-EC" w:eastAsia="es-EC"/>
        </w:rPr>
        <w:t xml:space="preserve">en el trimestre </w:t>
      </w:r>
      <w:r>
        <w:rPr>
          <w:rFonts w:ascii="Arial" w:hAnsi="Arial" w:cs="Arial"/>
          <w:sz w:val="22"/>
          <w:szCs w:val="22"/>
          <w:lang w:val="es-EC" w:eastAsia="es-EC"/>
        </w:rPr>
        <w:t>por la compañía de servicios auxiliares las cuales no son sujeto de facturación, es decir no rep</w:t>
      </w:r>
      <w:r w:rsidR="0059431F">
        <w:rPr>
          <w:rFonts w:ascii="Arial" w:hAnsi="Arial" w:cs="Arial"/>
          <w:sz w:val="22"/>
          <w:szCs w:val="22"/>
          <w:lang w:val="es-EC" w:eastAsia="es-EC"/>
        </w:rPr>
        <w:t>resentan ingresos para la misma (a</w:t>
      </w:r>
      <w:r>
        <w:rPr>
          <w:rFonts w:ascii="Arial" w:hAnsi="Arial" w:cs="Arial"/>
          <w:sz w:val="22"/>
          <w:szCs w:val="22"/>
          <w:lang w:val="es-EC" w:eastAsia="es-EC"/>
        </w:rPr>
        <w:t>plicable para empresas de cobranza</w:t>
      </w:r>
      <w:r w:rsidR="0059431F">
        <w:rPr>
          <w:rFonts w:ascii="Arial" w:hAnsi="Arial" w:cs="Arial"/>
          <w:sz w:val="22"/>
          <w:szCs w:val="22"/>
          <w:lang w:val="es-EC" w:eastAsia="es-EC"/>
        </w:rPr>
        <w:t>,</w:t>
      </w:r>
      <w:r w:rsidR="00E064EB">
        <w:rPr>
          <w:rFonts w:ascii="Arial" w:hAnsi="Arial" w:cs="Arial"/>
          <w:sz w:val="22"/>
          <w:szCs w:val="22"/>
          <w:lang w:val="es-EC" w:eastAsia="es-EC"/>
        </w:rPr>
        <w:t xml:space="preserve"> entre otras</w:t>
      </w:r>
      <w:r>
        <w:rPr>
          <w:rFonts w:ascii="Arial" w:hAnsi="Arial" w:cs="Arial"/>
          <w:sz w:val="22"/>
          <w:szCs w:val="22"/>
          <w:lang w:val="es-EC" w:eastAsia="es-EC"/>
        </w:rPr>
        <w:t>)</w:t>
      </w:r>
      <w:r w:rsidR="00C81276">
        <w:rPr>
          <w:rFonts w:ascii="Arial" w:hAnsi="Arial" w:cs="Arial"/>
          <w:sz w:val="22"/>
          <w:szCs w:val="22"/>
          <w:lang w:val="es-EC" w:eastAsia="es-EC"/>
        </w:rPr>
        <w:t>.</w:t>
      </w:r>
    </w:p>
    <w:p w:rsidR="00C81276" w:rsidRPr="00C81276" w:rsidRDefault="00C81276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el caso de no existir transacciones de éste tipo, se debe ingresar el número "0”.</w:t>
      </w:r>
    </w:p>
    <w:p w:rsidR="007A11DF" w:rsidRPr="00F026CF" w:rsidRDefault="007A11DF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 w:rsidRPr="00F026CF">
        <w:rPr>
          <w:rFonts w:ascii="Arial" w:hAnsi="Arial" w:cs="Arial"/>
          <w:b/>
          <w:sz w:val="22"/>
          <w:szCs w:val="22"/>
          <w:lang w:val="es-EC" w:eastAsia="es-EC"/>
        </w:rPr>
        <w:t>Cargo en dólares.-</w:t>
      </w:r>
      <w:r w:rsidRPr="00F026CF">
        <w:rPr>
          <w:rFonts w:ascii="Arial" w:hAnsi="Arial" w:cs="Arial"/>
          <w:sz w:val="22"/>
          <w:szCs w:val="22"/>
          <w:lang w:val="es-EC" w:eastAsia="es-EC"/>
        </w:rPr>
        <w:t xml:space="preserve"> Es el valor en dólares que la </w:t>
      </w:r>
      <w:r w:rsidR="00281C47">
        <w:rPr>
          <w:rFonts w:ascii="Arial" w:hAnsi="Arial" w:cs="Arial"/>
          <w:sz w:val="22"/>
          <w:szCs w:val="22"/>
          <w:lang w:val="es-EC" w:eastAsia="es-EC"/>
        </w:rPr>
        <w:t>compañía de servicios auxiliares</w:t>
      </w:r>
      <w:r w:rsidRPr="00F026CF">
        <w:rPr>
          <w:rFonts w:ascii="Arial" w:hAnsi="Arial" w:cs="Arial"/>
          <w:sz w:val="22"/>
          <w:szCs w:val="22"/>
          <w:lang w:val="es-EC" w:eastAsia="es-EC"/>
        </w:rPr>
        <w:t xml:space="preserve"> cobra por la contraprestación </w:t>
      </w:r>
      <w:r w:rsidR="00281C47">
        <w:rPr>
          <w:rFonts w:ascii="Arial" w:hAnsi="Arial" w:cs="Arial"/>
          <w:sz w:val="22"/>
          <w:szCs w:val="22"/>
          <w:lang w:val="es-EC" w:eastAsia="es-EC"/>
        </w:rPr>
        <w:t>del servicio</w:t>
      </w:r>
      <w:r w:rsidRPr="00F026CF">
        <w:rPr>
          <w:rFonts w:ascii="Arial" w:hAnsi="Arial" w:cs="Arial"/>
          <w:sz w:val="22"/>
          <w:szCs w:val="22"/>
          <w:lang w:val="es-EC" w:eastAsia="es-EC"/>
        </w:rPr>
        <w:t>.</w:t>
      </w:r>
    </w:p>
    <w:p w:rsidR="00A1368A" w:rsidRDefault="00A1368A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 w:rsidRPr="00A1368A">
        <w:rPr>
          <w:rFonts w:ascii="Arial" w:hAnsi="Arial" w:cs="Arial"/>
          <w:sz w:val="22"/>
          <w:szCs w:val="22"/>
          <w:lang w:eastAsia="es-EC"/>
        </w:rPr>
        <w:t xml:space="preserve">En el caso de que </w:t>
      </w:r>
      <w:r w:rsidR="00B11E70">
        <w:rPr>
          <w:rFonts w:ascii="Arial" w:hAnsi="Arial" w:cs="Arial"/>
          <w:sz w:val="22"/>
          <w:szCs w:val="22"/>
          <w:lang w:eastAsia="es-EC"/>
        </w:rPr>
        <w:t>sean servicios con cargo básico</w:t>
      </w:r>
      <w:r w:rsidRPr="00A1368A">
        <w:rPr>
          <w:rFonts w:ascii="Arial" w:hAnsi="Arial" w:cs="Arial"/>
          <w:sz w:val="22"/>
          <w:szCs w:val="22"/>
          <w:lang w:eastAsia="es-EC"/>
        </w:rPr>
        <w:t xml:space="preserve"> se reportará el valor </w:t>
      </w:r>
      <w:r w:rsidR="00B11E70">
        <w:rPr>
          <w:rFonts w:ascii="Arial" w:hAnsi="Arial" w:cs="Arial"/>
          <w:sz w:val="22"/>
          <w:szCs w:val="22"/>
          <w:lang w:eastAsia="es-EC"/>
        </w:rPr>
        <w:t xml:space="preserve">cero </w:t>
      </w:r>
      <w:r w:rsidRPr="00A1368A">
        <w:rPr>
          <w:rFonts w:ascii="Arial" w:hAnsi="Arial" w:cs="Arial"/>
          <w:sz w:val="22"/>
          <w:szCs w:val="22"/>
          <w:lang w:eastAsia="es-EC"/>
        </w:rPr>
        <w:t>“</w:t>
      </w:r>
      <w:r w:rsidR="00B11E70">
        <w:rPr>
          <w:rFonts w:ascii="Arial" w:hAnsi="Arial" w:cs="Arial"/>
          <w:sz w:val="22"/>
          <w:szCs w:val="22"/>
          <w:lang w:eastAsia="es-EC"/>
        </w:rPr>
        <w:t>0</w:t>
      </w:r>
      <w:r w:rsidRPr="00A1368A">
        <w:rPr>
          <w:rFonts w:ascii="Arial" w:hAnsi="Arial" w:cs="Arial"/>
          <w:sz w:val="22"/>
          <w:szCs w:val="22"/>
          <w:lang w:eastAsia="es-EC"/>
        </w:rPr>
        <w:t>”.</w:t>
      </w:r>
    </w:p>
    <w:p w:rsidR="00281C47" w:rsidRDefault="00281C47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En el caso de existir diferentes cargos en un mismo servicio financiero, se debe ingresar el promedio de los mismos.</w:t>
      </w:r>
    </w:p>
    <w:p w:rsidR="000D3639" w:rsidRDefault="000D3639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En el caso de existir un valor total pagado para un grupo de transacciones, se debe calcular el valor individual.</w:t>
      </w:r>
    </w:p>
    <w:p w:rsidR="002E75FD" w:rsidRDefault="002E75FD" w:rsidP="0059431F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7A11DF" w:rsidRPr="006D45E3" w:rsidRDefault="007A11DF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6D45E3">
        <w:rPr>
          <w:rFonts w:ascii="Arial" w:hAnsi="Arial" w:cs="Arial"/>
          <w:b/>
          <w:sz w:val="22"/>
          <w:szCs w:val="22"/>
          <w:lang w:val="es-EC" w:eastAsia="es-EC"/>
        </w:rPr>
        <w:t>Cargo en porcentaje.-</w:t>
      </w:r>
      <w:r w:rsidRPr="006D45E3">
        <w:rPr>
          <w:rFonts w:ascii="Arial" w:hAnsi="Arial" w:cs="Arial"/>
          <w:sz w:val="22"/>
          <w:szCs w:val="22"/>
          <w:lang w:val="es-EC" w:eastAsia="es-EC"/>
        </w:rPr>
        <w:t xml:space="preserve"> Es el valor en porcentaje que la entidad cobra por la contraprestación efectiva de un servicio.</w:t>
      </w:r>
    </w:p>
    <w:p w:rsidR="006D45E3" w:rsidRDefault="006D45E3" w:rsidP="009A0134">
      <w:pPr>
        <w:spacing w:line="276" w:lineRule="auto"/>
        <w:ind w:left="426"/>
        <w:jc w:val="both"/>
        <w:rPr>
          <w:rFonts w:cs="Arial"/>
          <w:sz w:val="22"/>
          <w:szCs w:val="22"/>
          <w:lang w:eastAsia="es-EC"/>
        </w:rPr>
      </w:pPr>
      <w:r w:rsidRPr="006D45E3">
        <w:rPr>
          <w:rFonts w:cs="Arial"/>
          <w:sz w:val="22"/>
          <w:szCs w:val="22"/>
          <w:lang w:eastAsia="es-EC"/>
        </w:rPr>
        <w:lastRenderedPageBreak/>
        <w:t>En el caso de existir diferentes cargos en un mismo servicio financiero, se debe ingresar el promedio de los mismos.</w:t>
      </w:r>
    </w:p>
    <w:p w:rsidR="002E75FD" w:rsidRDefault="002E75FD" w:rsidP="009A0134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 w:rsidRPr="00DA467F"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0D3639" w:rsidRPr="000D3639" w:rsidRDefault="00C81276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  <w:lang w:eastAsia="es-EC"/>
        </w:rPr>
      </w:pPr>
      <w:r>
        <w:rPr>
          <w:rFonts w:ascii="Arial" w:hAnsi="Arial" w:cs="Arial"/>
          <w:b/>
          <w:sz w:val="22"/>
          <w:szCs w:val="22"/>
          <w:lang w:val="es-EC" w:eastAsia="es-EC"/>
        </w:rPr>
        <w:t>Quié</w:t>
      </w:r>
      <w:r w:rsidR="00C03BA5">
        <w:rPr>
          <w:rFonts w:ascii="Arial" w:hAnsi="Arial" w:cs="Arial"/>
          <w:b/>
          <w:sz w:val="22"/>
          <w:szCs w:val="22"/>
          <w:lang w:val="es-EC" w:eastAsia="es-EC"/>
        </w:rPr>
        <w:t xml:space="preserve">n </w:t>
      </w:r>
      <w:r w:rsidR="00222839">
        <w:rPr>
          <w:rFonts w:ascii="Arial" w:hAnsi="Arial" w:cs="Arial"/>
          <w:b/>
          <w:sz w:val="22"/>
          <w:szCs w:val="22"/>
          <w:lang w:val="es-EC" w:eastAsia="es-EC"/>
        </w:rPr>
        <w:t>asume</w:t>
      </w:r>
      <w:r w:rsidR="00C03BA5">
        <w:rPr>
          <w:rFonts w:ascii="Arial" w:hAnsi="Arial" w:cs="Arial"/>
          <w:b/>
          <w:sz w:val="22"/>
          <w:szCs w:val="22"/>
          <w:lang w:val="es-EC" w:eastAsia="es-EC"/>
        </w:rPr>
        <w:t xml:space="preserve"> el cargo</w:t>
      </w:r>
      <w:r w:rsidR="000D3639" w:rsidRPr="000D3639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 w:rsidR="009A0134">
        <w:rPr>
          <w:rFonts w:ascii="Arial" w:hAnsi="Arial" w:cs="Arial"/>
          <w:sz w:val="22"/>
          <w:szCs w:val="22"/>
          <w:lang w:eastAsia="es-EC"/>
        </w:rPr>
        <w:t>I</w:t>
      </w:r>
      <w:r w:rsidR="00C03BA5">
        <w:rPr>
          <w:rFonts w:ascii="Arial" w:hAnsi="Arial" w:cs="Arial"/>
          <w:sz w:val="22"/>
          <w:szCs w:val="22"/>
          <w:lang w:eastAsia="es-EC"/>
        </w:rPr>
        <w:t xml:space="preserve">dentifica el sujeto quien asume el pago por el servicio prestado. </w:t>
      </w:r>
      <w:r w:rsidR="009A0134">
        <w:rPr>
          <w:rFonts w:ascii="Arial" w:hAnsi="Arial" w:cs="Arial"/>
          <w:sz w:val="22"/>
          <w:szCs w:val="22"/>
          <w:lang w:eastAsia="es-EC"/>
        </w:rPr>
        <w:t>(Tabla C)</w:t>
      </w:r>
    </w:p>
    <w:p w:rsidR="007A11DF" w:rsidRPr="00BC28E2" w:rsidRDefault="007A11DF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eastAsia="es-EC"/>
        </w:rPr>
        <w:t xml:space="preserve">Ingreso bruto.- 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Es el valor en dólares por concepto de los ingresos efectivamente generados en el </w:t>
      </w:r>
      <w:r w:rsidR="00E51C03">
        <w:rPr>
          <w:rFonts w:ascii="Arial" w:hAnsi="Arial" w:cs="Arial"/>
          <w:sz w:val="22"/>
          <w:szCs w:val="22"/>
          <w:lang w:eastAsia="es-EC"/>
        </w:rPr>
        <w:t>trimestre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 por la presta</w:t>
      </w:r>
      <w:r w:rsidR="00C81276">
        <w:rPr>
          <w:rFonts w:ascii="Arial" w:hAnsi="Arial" w:cs="Arial"/>
          <w:sz w:val="22"/>
          <w:szCs w:val="22"/>
          <w:lang w:eastAsia="es-EC"/>
        </w:rPr>
        <w:t>ción de un determinado servicio, sin considerar si han sido cobrados o no.</w:t>
      </w:r>
    </w:p>
    <w:p w:rsidR="00BC28E2" w:rsidRDefault="00BC28E2" w:rsidP="00B32BDA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En el caso de la prestación de servicios básicos, el campo deberá ser ingresado con cero “0”.</w:t>
      </w:r>
    </w:p>
    <w:p w:rsidR="002E75FD" w:rsidRDefault="002E75FD" w:rsidP="00B32BDA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7A11DF" w:rsidRPr="00A52770" w:rsidRDefault="007A11DF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 w:rsidRPr="006D45E3">
        <w:rPr>
          <w:rFonts w:ascii="Arial" w:hAnsi="Arial" w:cs="Arial"/>
          <w:b/>
          <w:sz w:val="22"/>
          <w:szCs w:val="22"/>
          <w:lang w:eastAsia="es-EC"/>
        </w:rPr>
        <w:t>Ingreso neto.-</w:t>
      </w:r>
      <w:r w:rsidRPr="006D45E3">
        <w:rPr>
          <w:rFonts w:ascii="Arial" w:hAnsi="Arial" w:cs="Arial"/>
          <w:sz w:val="22"/>
          <w:szCs w:val="22"/>
          <w:lang w:eastAsia="es-EC"/>
        </w:rPr>
        <w:t xml:space="preserve"> Es el valor en dólares por concepto de los ingresos efectivamente percibidos en el </w:t>
      </w:r>
      <w:r w:rsidR="00E51C03" w:rsidRPr="006D45E3">
        <w:rPr>
          <w:rFonts w:ascii="Arial" w:hAnsi="Arial" w:cs="Arial"/>
          <w:sz w:val="22"/>
          <w:szCs w:val="22"/>
          <w:lang w:eastAsia="es-EC"/>
        </w:rPr>
        <w:t>trimestre</w:t>
      </w:r>
      <w:r w:rsidRPr="006D45E3">
        <w:rPr>
          <w:rFonts w:ascii="Arial" w:hAnsi="Arial" w:cs="Arial"/>
          <w:sz w:val="22"/>
          <w:szCs w:val="22"/>
          <w:lang w:eastAsia="es-EC"/>
        </w:rPr>
        <w:t xml:space="preserve"> por la prestación de un determinado servicio</w:t>
      </w:r>
      <w:r w:rsidR="006D45E3" w:rsidRPr="006D45E3">
        <w:rPr>
          <w:rFonts w:ascii="Arial" w:hAnsi="Arial" w:cs="Arial"/>
          <w:sz w:val="22"/>
          <w:szCs w:val="22"/>
          <w:lang w:eastAsia="es-EC"/>
        </w:rPr>
        <w:t>.</w:t>
      </w:r>
      <w:r w:rsidR="006D45E3">
        <w:rPr>
          <w:rFonts w:ascii="Arial" w:hAnsi="Arial" w:cs="Arial"/>
          <w:sz w:val="22"/>
          <w:szCs w:val="22"/>
          <w:lang w:eastAsia="es-EC"/>
        </w:rPr>
        <w:t xml:space="preserve"> </w:t>
      </w:r>
      <w:r w:rsidR="00B32BDA">
        <w:rPr>
          <w:rFonts w:ascii="Arial" w:hAnsi="Arial" w:cs="Arial"/>
          <w:sz w:val="22"/>
          <w:szCs w:val="22"/>
          <w:lang w:eastAsia="es-EC"/>
        </w:rPr>
        <w:t xml:space="preserve"> </w:t>
      </w:r>
      <w:r w:rsidR="00C81276">
        <w:rPr>
          <w:rFonts w:ascii="Arial" w:hAnsi="Arial" w:cs="Arial"/>
          <w:sz w:val="22"/>
          <w:szCs w:val="22"/>
          <w:lang w:eastAsia="es-EC"/>
        </w:rPr>
        <w:t>El valor deberá corresponder al valor reportado en los balances de la compañía.</w:t>
      </w:r>
    </w:p>
    <w:p w:rsidR="00A52770" w:rsidRPr="00A52770" w:rsidRDefault="00A52770" w:rsidP="00B32BDA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En el caso de la prestación de servicios básicos, el campo deberá ser ingresado con cero “0”.</w:t>
      </w:r>
    </w:p>
    <w:p w:rsidR="002E75FD" w:rsidRPr="002E75FD" w:rsidRDefault="002E75FD" w:rsidP="00B32BDA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7A11DF" w:rsidRPr="00F026CF" w:rsidRDefault="007A11DF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 w:rsidRPr="00F026CF">
        <w:rPr>
          <w:rFonts w:ascii="Arial" w:hAnsi="Arial" w:cs="Arial"/>
          <w:b/>
          <w:sz w:val="22"/>
          <w:szCs w:val="22"/>
          <w:lang w:eastAsia="es-EC"/>
        </w:rPr>
        <w:t>Base imponible (IVA).-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 Se  refiere al valor base del cargo por el servicio sobre la cual se calcula el importe del Impuesto al Valor Agregado (IVA).</w:t>
      </w:r>
    </w:p>
    <w:p w:rsidR="007A11DF" w:rsidRPr="00F026CF" w:rsidRDefault="007A11DF" w:rsidP="0059431F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eastAsia="es-EC"/>
        </w:rPr>
        <w:t>IVA pagado.-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 Es el valor por concepto del Impuesto al Valor Agregado (IVA) pagado por el cliente por la prestación de un servicio financiero y que la entidad financiera debe trasladar al SRI.</w:t>
      </w:r>
    </w:p>
    <w:p w:rsidR="004D2B26" w:rsidRDefault="004D2B26" w:rsidP="004D2B26">
      <w:pPr>
        <w:spacing w:line="276" w:lineRule="auto"/>
        <w:jc w:val="both"/>
        <w:rPr>
          <w:rFonts w:cs="Arial"/>
          <w:color w:val="000000"/>
          <w:sz w:val="22"/>
          <w:szCs w:val="22"/>
          <w:lang w:val="es-EC" w:eastAsia="es-EC"/>
        </w:rPr>
      </w:pPr>
    </w:p>
    <w:p w:rsidR="004D2B26" w:rsidRPr="005A0610" w:rsidRDefault="00765F0C" w:rsidP="004D2B26">
      <w:pPr>
        <w:shd w:val="clear" w:color="auto" w:fill="B8CCE4" w:themeFill="accent1" w:themeFillTint="66"/>
        <w:spacing w:line="276" w:lineRule="auto"/>
        <w:jc w:val="both"/>
        <w:rPr>
          <w:rFonts w:cs="Arial"/>
          <w:b/>
          <w:color w:val="000000"/>
          <w:sz w:val="22"/>
          <w:szCs w:val="22"/>
          <w:lang w:val="es-EC" w:eastAsia="es-EC"/>
        </w:rPr>
      </w:pPr>
      <w:r>
        <w:rPr>
          <w:rFonts w:cs="Arial"/>
          <w:b/>
          <w:color w:val="000000"/>
          <w:sz w:val="22"/>
          <w:szCs w:val="22"/>
          <w:lang w:val="es-EC" w:eastAsia="es-EC"/>
        </w:rPr>
        <w:t>PARTE II.- Campos del F</w:t>
      </w:r>
      <w:r w:rsidR="004D2B26">
        <w:rPr>
          <w:rFonts w:cs="Arial"/>
          <w:b/>
          <w:color w:val="000000"/>
          <w:sz w:val="22"/>
          <w:szCs w:val="22"/>
          <w:lang w:val="es-EC" w:eastAsia="es-EC"/>
        </w:rPr>
        <w:t xml:space="preserve">ormulario para </w:t>
      </w:r>
      <w:r>
        <w:rPr>
          <w:rFonts w:cs="Arial"/>
          <w:b/>
          <w:color w:val="000000"/>
          <w:sz w:val="22"/>
          <w:szCs w:val="22"/>
          <w:lang w:val="es-EC" w:eastAsia="es-EC"/>
        </w:rPr>
        <w:t>Servicios NO C</w:t>
      </w:r>
      <w:r w:rsidR="004D2B26">
        <w:rPr>
          <w:rFonts w:cs="Arial"/>
          <w:b/>
          <w:color w:val="000000"/>
          <w:sz w:val="22"/>
          <w:szCs w:val="22"/>
          <w:lang w:val="es-EC" w:eastAsia="es-EC"/>
        </w:rPr>
        <w:t>atalogados</w:t>
      </w:r>
    </w:p>
    <w:p w:rsidR="005126A6" w:rsidRDefault="005126A6" w:rsidP="005126A6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C" w:eastAsia="es-EC"/>
        </w:rPr>
      </w:pPr>
    </w:p>
    <w:p w:rsidR="005126A6" w:rsidRDefault="002E75FD" w:rsidP="00B32BDA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Los 14</w:t>
      </w:r>
      <w:r w:rsidR="005126A6" w:rsidRPr="00DD6FC3">
        <w:rPr>
          <w:rFonts w:ascii="Arial" w:hAnsi="Arial" w:cs="Arial"/>
          <w:sz w:val="22"/>
          <w:szCs w:val="22"/>
          <w:lang w:val="es-EC" w:eastAsia="es-EC"/>
        </w:rPr>
        <w:t xml:space="preserve"> campos solicitados deben ser reportados en una hoja de archivo Excel, es decir la hoja de Excel tendr</w:t>
      </w:r>
      <w:r>
        <w:rPr>
          <w:rFonts w:ascii="Arial" w:hAnsi="Arial" w:cs="Arial"/>
          <w:sz w:val="22"/>
          <w:szCs w:val="22"/>
          <w:lang w:val="es-EC" w:eastAsia="es-EC"/>
        </w:rPr>
        <w:t>á 14</w:t>
      </w:r>
      <w:r w:rsidR="005126A6" w:rsidRPr="00DD6FC3">
        <w:rPr>
          <w:rFonts w:ascii="Arial" w:hAnsi="Arial" w:cs="Arial"/>
          <w:sz w:val="22"/>
          <w:szCs w:val="22"/>
          <w:lang w:val="es-EC" w:eastAsia="es-EC"/>
        </w:rPr>
        <w:t xml:space="preserve"> columnas, en el caso de que la</w:t>
      </w:r>
      <w:r w:rsidR="005126A6">
        <w:rPr>
          <w:rFonts w:ascii="Arial" w:hAnsi="Arial" w:cs="Arial"/>
          <w:sz w:val="22"/>
          <w:szCs w:val="22"/>
          <w:lang w:val="es-EC" w:eastAsia="es-EC"/>
        </w:rPr>
        <w:t>s</w:t>
      </w:r>
      <w:r w:rsidR="005126A6" w:rsidRPr="00DD6FC3">
        <w:rPr>
          <w:rFonts w:ascii="Arial" w:hAnsi="Arial" w:cs="Arial"/>
          <w:sz w:val="22"/>
          <w:szCs w:val="22"/>
          <w:lang w:val="es-EC" w:eastAsia="es-EC"/>
        </w:rPr>
        <w:t xml:space="preserve"> compañías de servicios auxiliares no tengan información para reportar en una columna, deberán reportar la columna con registros en blanco o vacía.</w:t>
      </w:r>
    </w:p>
    <w:p w:rsidR="005126A6" w:rsidRDefault="005126A6" w:rsidP="00B32BDA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 xml:space="preserve">La primera fila de la hoja de Excel deberá contener el nombre del “campo”. </w:t>
      </w:r>
    </w:p>
    <w:p w:rsidR="005126A6" w:rsidRDefault="005126A6" w:rsidP="00B32BDA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 xml:space="preserve">A partir de la segunda fila de la hoja de Excel se deberá reportar el detalle de la información solicitada en cada campo. </w:t>
      </w:r>
    </w:p>
    <w:p w:rsidR="005126A6" w:rsidRDefault="005126A6" w:rsidP="00B32BDA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No utilizar separador de miles.</w:t>
      </w:r>
    </w:p>
    <w:p w:rsidR="005126A6" w:rsidRDefault="005126A6" w:rsidP="00B32BDA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El signo (,) será utilizado como separador de decimales, solo reportar hasta dos decimales.</w:t>
      </w:r>
    </w:p>
    <w:p w:rsidR="005126A6" w:rsidRDefault="005126A6" w:rsidP="00B32BDA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 xml:space="preserve">En los campos que deben ser llenados con valores monetarios, no ingresar el signo $, solo ingresar el valor correspondiente. </w:t>
      </w:r>
    </w:p>
    <w:p w:rsidR="005126A6" w:rsidRPr="00DD6FC3" w:rsidRDefault="005126A6" w:rsidP="00B32BDA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el campo 10 “Cargo en porcentaje”, no ingresar el signo %, solo ingresar el valor del cargo, como por ejemplo: 0,10  que equivale al 10%.</w:t>
      </w:r>
    </w:p>
    <w:p w:rsidR="005126A6" w:rsidRPr="00684976" w:rsidRDefault="005126A6" w:rsidP="005126A6">
      <w:pPr>
        <w:spacing w:line="276" w:lineRule="auto"/>
        <w:jc w:val="both"/>
        <w:rPr>
          <w:rFonts w:cs="Arial"/>
          <w:b/>
          <w:sz w:val="22"/>
          <w:szCs w:val="22"/>
          <w:lang w:val="es-EC"/>
        </w:rPr>
      </w:pPr>
    </w:p>
    <w:tbl>
      <w:tblPr>
        <w:tblW w:w="7453" w:type="dxa"/>
        <w:jc w:val="center"/>
        <w:tblInd w:w="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364"/>
        <w:gridCol w:w="1528"/>
        <w:gridCol w:w="1780"/>
        <w:gridCol w:w="1154"/>
      </w:tblGrid>
      <w:tr w:rsidR="005126A6" w:rsidRPr="00F026CF" w:rsidTr="002F695A">
        <w:trPr>
          <w:trHeight w:val="6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5126A6" w:rsidRPr="00F026CF" w:rsidRDefault="005126A6" w:rsidP="00281231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lastRenderedPageBreak/>
              <w:t>No.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5126A6" w:rsidRPr="00F026CF" w:rsidRDefault="005126A6" w:rsidP="00281231">
            <w:pPr>
              <w:spacing w:line="276" w:lineRule="auto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CAMPO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5126A6" w:rsidRPr="00F026CF" w:rsidRDefault="005126A6" w:rsidP="00281231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TIPO DE DATO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5126A6" w:rsidRPr="00F026CF" w:rsidRDefault="005126A6" w:rsidP="00281231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OBLIGATORIEDAD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:rsidR="005126A6" w:rsidRPr="00F026CF" w:rsidRDefault="005126A6" w:rsidP="00281231">
            <w:pPr>
              <w:spacing w:line="276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b/>
                <w:bCs/>
                <w:color w:val="FFFFFF"/>
                <w:sz w:val="18"/>
                <w:szCs w:val="18"/>
                <w:lang w:val="es-EC" w:eastAsia="es-EC"/>
              </w:rPr>
              <w:t>TABLA</w:t>
            </w:r>
          </w:p>
        </w:tc>
      </w:tr>
      <w:tr w:rsidR="002E75FD" w:rsidRPr="00F026CF" w:rsidTr="002F695A">
        <w:trPr>
          <w:trHeight w:val="25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Default="002E75FD" w:rsidP="0028123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Corte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Fecha (dd/mm/aaaa)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Servicio o Producto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Texto (30</w:t>
            </w:r>
            <w:r w:rsidRPr="00F026C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8F79B2" w:rsidRDefault="002E75FD" w:rsidP="00281231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Texto (….)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026CF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aplica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sz w:val="18"/>
                <w:szCs w:val="18"/>
              </w:rPr>
              <w:t>Tipo de calificación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FB7EBA" w:rsidP="00905CB4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Cará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cter</w:t>
            </w:r>
            <w:r w:rsidR="002E75FD"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(</w:t>
            </w:r>
            <w:r w:rsidR="002E75FD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</w:t>
            </w:r>
            <w:r w:rsidR="002E75FD"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Tabla A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Código entidad financiera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4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Catastro SB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Número de transacciones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facturadas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(10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Número de transacciones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 no facturables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(10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Cargo 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 xml:space="preserve">en </w:t>
            </w: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dólares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(4,2)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Cargo en porcentaje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DB428B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Quién asume el cargo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Carácter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DB428B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Tabla C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Ingreso bruto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A52770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Ingreso neto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A52770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Base imponible (IVA)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A52770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2E75FD" w:rsidRPr="00F026CF" w:rsidTr="002F695A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IVA pagado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Numérico (12,2)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A52770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FD" w:rsidRPr="00F026CF" w:rsidRDefault="002E75FD" w:rsidP="00281231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es-EC" w:eastAsia="es-EC"/>
              </w:rPr>
            </w:pPr>
            <w:r w:rsidRPr="00F026CF">
              <w:rPr>
                <w:rFonts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</w:tbl>
    <w:p w:rsidR="002E75FD" w:rsidRDefault="002E75FD" w:rsidP="002E75FD">
      <w:pPr>
        <w:pStyle w:val="Prrafodelista"/>
        <w:spacing w:line="276" w:lineRule="auto"/>
        <w:ind w:left="567"/>
        <w:jc w:val="both"/>
        <w:rPr>
          <w:rFonts w:ascii="Arial" w:hAnsi="Arial" w:cs="Arial"/>
          <w:sz w:val="12"/>
          <w:szCs w:val="22"/>
          <w:lang w:val="es-EC" w:eastAsia="es-EC"/>
        </w:rPr>
      </w:pPr>
      <w:r w:rsidRPr="006D45E3">
        <w:rPr>
          <w:rFonts w:ascii="Arial" w:hAnsi="Arial" w:cs="Arial"/>
          <w:sz w:val="12"/>
          <w:szCs w:val="22"/>
          <w:lang w:val="es-EC" w:eastAsia="es-EC"/>
        </w:rPr>
        <w:t>*Obligatorio condicional, solo para los servicios que apliquen</w:t>
      </w:r>
    </w:p>
    <w:p w:rsidR="004D2B26" w:rsidRDefault="004D2B26" w:rsidP="00152604">
      <w:pPr>
        <w:spacing w:line="276" w:lineRule="auto"/>
        <w:jc w:val="both"/>
        <w:rPr>
          <w:rFonts w:cs="Arial"/>
          <w:color w:val="000000"/>
          <w:sz w:val="22"/>
          <w:szCs w:val="22"/>
          <w:lang w:val="es-EC" w:eastAsia="es-EC"/>
        </w:rPr>
      </w:pPr>
    </w:p>
    <w:p w:rsidR="00207185" w:rsidRPr="00905CB4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905CB4">
        <w:rPr>
          <w:rFonts w:ascii="Arial" w:hAnsi="Arial" w:cs="Arial"/>
          <w:b/>
          <w:sz w:val="22"/>
          <w:szCs w:val="22"/>
          <w:lang w:val="es-EC" w:eastAsia="es-EC"/>
        </w:rPr>
        <w:t xml:space="preserve">Fecha de corte.- </w:t>
      </w:r>
      <w:r w:rsidRPr="00905CB4">
        <w:rPr>
          <w:rFonts w:ascii="Arial" w:hAnsi="Arial" w:cs="Arial"/>
          <w:sz w:val="22"/>
          <w:szCs w:val="22"/>
          <w:lang w:val="es-EC" w:eastAsia="es-EC"/>
        </w:rPr>
        <w:t xml:space="preserve">Fecha de corte </w:t>
      </w:r>
      <w:r>
        <w:rPr>
          <w:rFonts w:ascii="Arial" w:hAnsi="Arial" w:cs="Arial"/>
          <w:sz w:val="22"/>
          <w:szCs w:val="22"/>
          <w:lang w:val="es-EC" w:eastAsia="es-EC"/>
        </w:rPr>
        <w:t>mensua</w:t>
      </w:r>
      <w:r w:rsidRPr="00905CB4">
        <w:rPr>
          <w:rFonts w:ascii="Arial" w:hAnsi="Arial" w:cs="Arial"/>
          <w:sz w:val="22"/>
          <w:szCs w:val="22"/>
          <w:lang w:val="es-EC" w:eastAsia="es-EC"/>
        </w:rPr>
        <w:t xml:space="preserve">l de la información enviada en el formato dd/mm/aaaa. </w:t>
      </w:r>
      <w:r w:rsidR="005E0FD3"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 w:rsidRPr="00905CB4">
        <w:rPr>
          <w:rFonts w:ascii="Arial" w:hAnsi="Arial" w:cs="Arial"/>
          <w:sz w:val="22"/>
          <w:szCs w:val="22"/>
          <w:lang w:val="es-EC" w:eastAsia="es-EC"/>
        </w:rPr>
        <w:t xml:space="preserve">Se debe reportar como fecha el último día calendario, y NO el último día hábil del </w:t>
      </w:r>
      <w:r>
        <w:rPr>
          <w:rFonts w:ascii="Arial" w:hAnsi="Arial" w:cs="Arial"/>
          <w:sz w:val="22"/>
          <w:szCs w:val="22"/>
          <w:lang w:val="es-EC" w:eastAsia="es-EC"/>
        </w:rPr>
        <w:t>mes</w:t>
      </w:r>
      <w:r w:rsidRPr="00905CB4">
        <w:rPr>
          <w:rFonts w:ascii="Arial" w:hAnsi="Arial" w:cs="Arial"/>
          <w:sz w:val="22"/>
          <w:szCs w:val="22"/>
          <w:lang w:val="es-EC" w:eastAsia="es-EC"/>
        </w:rPr>
        <w:t xml:space="preserve">.  El signo utilizado como separador de la fecha reportada deberá ser únicamente el signo “/”, sin espacios entre el signo y el número. </w:t>
      </w:r>
    </w:p>
    <w:p w:rsidR="00222839" w:rsidRPr="00222839" w:rsidRDefault="00222839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>
        <w:rPr>
          <w:rFonts w:ascii="Arial" w:hAnsi="Arial" w:cs="Arial"/>
          <w:b/>
          <w:sz w:val="22"/>
          <w:szCs w:val="22"/>
          <w:lang w:eastAsia="es-EC"/>
        </w:rPr>
        <w:t xml:space="preserve">Servicio o Producto.- </w:t>
      </w:r>
      <w:r>
        <w:rPr>
          <w:rFonts w:ascii="Arial" w:hAnsi="Arial" w:cs="Arial"/>
          <w:sz w:val="22"/>
          <w:szCs w:val="22"/>
          <w:lang w:eastAsia="es-EC"/>
        </w:rPr>
        <w:t>Corresponde al nombre de cada uno de los productos y servicios que oferta la compañía de servicios auxiliares a los usuarios de las entidades de los sectore</w:t>
      </w:r>
      <w:r w:rsidR="00A7423E">
        <w:rPr>
          <w:rFonts w:ascii="Arial" w:hAnsi="Arial" w:cs="Arial"/>
          <w:sz w:val="22"/>
          <w:szCs w:val="22"/>
          <w:lang w:eastAsia="es-EC"/>
        </w:rPr>
        <w:t>s financieros público y privado;</w:t>
      </w:r>
      <w:r>
        <w:rPr>
          <w:rFonts w:ascii="Arial" w:hAnsi="Arial" w:cs="Arial"/>
          <w:sz w:val="22"/>
          <w:szCs w:val="22"/>
          <w:lang w:eastAsia="es-EC"/>
        </w:rPr>
        <w:t xml:space="preserve"> y</w:t>
      </w:r>
      <w:r w:rsidR="00A7423E">
        <w:rPr>
          <w:rFonts w:ascii="Arial" w:hAnsi="Arial" w:cs="Arial"/>
          <w:sz w:val="22"/>
          <w:szCs w:val="22"/>
          <w:lang w:eastAsia="es-EC"/>
        </w:rPr>
        <w:t>, a tercera</w:t>
      </w:r>
      <w:r>
        <w:rPr>
          <w:rFonts w:ascii="Arial" w:hAnsi="Arial" w:cs="Arial"/>
          <w:sz w:val="22"/>
          <w:szCs w:val="22"/>
          <w:lang w:eastAsia="es-EC"/>
        </w:rPr>
        <w:t>s personas naturales o jurídicas ajenas al sistema financiero nacional.</w:t>
      </w:r>
    </w:p>
    <w:p w:rsidR="00222839" w:rsidRPr="00222839" w:rsidRDefault="00222839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>
        <w:rPr>
          <w:rFonts w:ascii="Arial" w:hAnsi="Arial" w:cs="Arial"/>
          <w:b/>
          <w:sz w:val="22"/>
          <w:szCs w:val="22"/>
          <w:lang w:eastAsia="es-EC"/>
        </w:rPr>
        <w:t xml:space="preserve">Descripción.- </w:t>
      </w:r>
      <w:r>
        <w:rPr>
          <w:rFonts w:ascii="Arial" w:hAnsi="Arial" w:cs="Arial"/>
          <w:sz w:val="22"/>
          <w:szCs w:val="22"/>
          <w:lang w:eastAsia="es-EC"/>
        </w:rPr>
        <w:t>Corresponde a una explicación ordenada y completa de cada uno de los productos y servicios que oferta la compañía de servicios auxiliares. Se debe detallar el beneficio que obtiene el usuario al so</w:t>
      </w:r>
      <w:r w:rsidR="00A7423E">
        <w:rPr>
          <w:rFonts w:ascii="Arial" w:hAnsi="Arial" w:cs="Arial"/>
          <w:sz w:val="22"/>
          <w:szCs w:val="22"/>
          <w:lang w:eastAsia="es-EC"/>
        </w:rPr>
        <w:t>licitar el producto o servicio.</w:t>
      </w:r>
    </w:p>
    <w:p w:rsidR="007F242A" w:rsidRDefault="007F242A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B3301D">
        <w:rPr>
          <w:rFonts w:ascii="Arial" w:hAnsi="Arial" w:cs="Arial"/>
          <w:b/>
          <w:sz w:val="22"/>
          <w:szCs w:val="22"/>
          <w:lang w:val="es-EC" w:eastAsia="es-EC"/>
        </w:rPr>
        <w:t>Tipo de Calificación.-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 w:rsidR="00905CB4">
        <w:rPr>
          <w:rFonts w:ascii="Arial" w:hAnsi="Arial" w:cs="Arial"/>
          <w:sz w:val="22"/>
          <w:szCs w:val="22"/>
          <w:lang w:val="es-EC" w:eastAsia="es-EC"/>
        </w:rPr>
        <w:t>Se debe i</w:t>
      </w:r>
      <w:r>
        <w:rPr>
          <w:rFonts w:ascii="Arial" w:hAnsi="Arial" w:cs="Arial"/>
          <w:sz w:val="22"/>
          <w:szCs w:val="22"/>
          <w:lang w:val="es-EC" w:eastAsia="es-EC"/>
        </w:rPr>
        <w:t>n</w:t>
      </w:r>
      <w:r w:rsidR="00A7423E">
        <w:rPr>
          <w:rFonts w:ascii="Arial" w:hAnsi="Arial" w:cs="Arial"/>
          <w:sz w:val="22"/>
          <w:szCs w:val="22"/>
          <w:lang w:val="es-EC" w:eastAsia="es-EC"/>
        </w:rPr>
        <w:t xml:space="preserve">gresar el tipo de calificación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a la que se puede relacionar el producto o servicio prestado por la compañía de servicios auxiliares, de acuerdo a la calificación </w:t>
      </w:r>
      <w:r w:rsidR="00905CB4">
        <w:rPr>
          <w:rFonts w:ascii="Arial" w:hAnsi="Arial" w:cs="Arial"/>
          <w:sz w:val="22"/>
          <w:szCs w:val="22"/>
          <w:lang w:val="es-EC" w:eastAsia="es-EC"/>
        </w:rPr>
        <w:t>establecida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por la Junta de Política y Regulación Monetaria y Financiera a través de la resolución No. 382-2017-F. (Tabla A)</w:t>
      </w:r>
      <w:r w:rsidR="00905CB4">
        <w:rPr>
          <w:rFonts w:ascii="Arial" w:hAnsi="Arial" w:cs="Arial"/>
          <w:sz w:val="22"/>
          <w:szCs w:val="22"/>
          <w:lang w:val="es-EC" w:eastAsia="es-EC"/>
        </w:rPr>
        <w:t xml:space="preserve">, </w:t>
      </w:r>
      <w:r w:rsidR="00905CB4" w:rsidRPr="00176854">
        <w:rPr>
          <w:rFonts w:ascii="Arial" w:hAnsi="Arial" w:cs="Arial"/>
          <w:sz w:val="22"/>
          <w:szCs w:val="22"/>
          <w:lang w:val="es-EC" w:eastAsia="es-EC"/>
        </w:rPr>
        <w:t>sin considerar si dicha calificación</w:t>
      </w:r>
      <w:r w:rsidR="00176854" w:rsidRPr="00176854">
        <w:rPr>
          <w:rFonts w:ascii="Arial" w:hAnsi="Arial" w:cs="Arial"/>
          <w:sz w:val="22"/>
          <w:szCs w:val="22"/>
          <w:lang w:val="es-EC" w:eastAsia="es-EC"/>
        </w:rPr>
        <w:t xml:space="preserve"> relacionada al servicio reportado</w:t>
      </w:r>
      <w:r w:rsidR="00905CB4" w:rsidRPr="00176854">
        <w:rPr>
          <w:rFonts w:ascii="Arial" w:hAnsi="Arial" w:cs="Arial"/>
          <w:sz w:val="22"/>
          <w:szCs w:val="22"/>
          <w:lang w:val="es-EC" w:eastAsia="es-EC"/>
        </w:rPr>
        <w:t xml:space="preserve"> ha sido obtenida o no por la compañía de servicios auxiliares.</w:t>
      </w:r>
    </w:p>
    <w:p w:rsidR="00207185" w:rsidRPr="00A52770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A52770">
        <w:rPr>
          <w:rFonts w:ascii="Arial" w:hAnsi="Arial" w:cs="Arial"/>
          <w:b/>
          <w:sz w:val="22"/>
          <w:szCs w:val="22"/>
          <w:lang w:val="es-EC" w:eastAsia="es-EC"/>
        </w:rPr>
        <w:t xml:space="preserve">Código entidad financiera.- </w:t>
      </w:r>
      <w:r w:rsidRPr="00A52770">
        <w:rPr>
          <w:rFonts w:ascii="Arial" w:hAnsi="Arial" w:cs="Arial"/>
          <w:sz w:val="22"/>
          <w:szCs w:val="22"/>
          <w:lang w:val="es-EC" w:eastAsia="es-EC"/>
        </w:rPr>
        <w:t xml:space="preserve">Corresponde al código de la entidad financiera a través de la cual la compañía de servicios auxiliares presta el servicio. </w:t>
      </w:r>
      <w:r w:rsidR="008734F8">
        <w:rPr>
          <w:rFonts w:ascii="Arial" w:hAnsi="Arial" w:cs="Arial"/>
          <w:sz w:val="22"/>
          <w:szCs w:val="22"/>
          <w:lang w:val="es-EC" w:eastAsia="es-EC"/>
        </w:rPr>
        <w:t xml:space="preserve"> </w:t>
      </w:r>
      <w:r w:rsidRPr="00A52770">
        <w:rPr>
          <w:rFonts w:ascii="Arial" w:hAnsi="Arial" w:cs="Arial"/>
          <w:sz w:val="22"/>
          <w:szCs w:val="22"/>
          <w:lang w:val="es-EC" w:eastAsia="es-EC"/>
        </w:rPr>
        <w:t xml:space="preserve">El código de la entidad puede ser consultado en el catastro público de la página web de la Superintendencia de Bancos, buscando por el nombre de la entidad </w:t>
      </w:r>
      <w:r w:rsidRPr="00A52770">
        <w:rPr>
          <w:rFonts w:ascii="Arial" w:hAnsi="Arial" w:cs="Arial"/>
          <w:sz w:val="22"/>
          <w:szCs w:val="22"/>
          <w:lang w:val="es-EC" w:eastAsia="es-EC"/>
        </w:rPr>
        <w:lastRenderedPageBreak/>
        <w:t xml:space="preserve">financiera en la siguiente dirección: </w:t>
      </w:r>
      <w:hyperlink r:id="rId9" w:history="1">
        <w:r w:rsidRPr="00A52770">
          <w:rPr>
            <w:rStyle w:val="Hipervnculo"/>
            <w:rFonts w:ascii="Arial" w:hAnsi="Arial" w:cs="Arial"/>
            <w:sz w:val="22"/>
            <w:szCs w:val="22"/>
            <w:lang w:val="es-EC" w:eastAsia="es-EC"/>
          </w:rPr>
          <w:t>https://www.superbancos.gob.ec/bancos/catastro-publico/#</w:t>
        </w:r>
      </w:hyperlink>
      <w:r w:rsidRPr="00A52770">
        <w:rPr>
          <w:rFonts w:ascii="Arial" w:hAnsi="Arial" w:cs="Arial"/>
          <w:sz w:val="22"/>
          <w:szCs w:val="22"/>
          <w:lang w:val="es-EC" w:eastAsia="es-EC"/>
        </w:rPr>
        <w:t xml:space="preserve"> .  </w:t>
      </w:r>
    </w:p>
    <w:p w:rsidR="00207185" w:rsidRDefault="00207185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los casos de que el servicio financiero no sea prestado a través de una entidad financiera:</w:t>
      </w:r>
    </w:p>
    <w:p w:rsidR="00207185" w:rsidRDefault="00207185" w:rsidP="008734F8">
      <w:pPr>
        <w:pStyle w:val="Prrafodelista"/>
        <w:numPr>
          <w:ilvl w:val="0"/>
          <w:numId w:val="5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Cuando las compañías de servicios auxiliares pres</w:t>
      </w:r>
      <w:r w:rsidR="008734F8">
        <w:rPr>
          <w:rFonts w:ascii="Arial" w:hAnsi="Arial" w:cs="Arial"/>
          <w:sz w:val="22"/>
          <w:szCs w:val="22"/>
          <w:lang w:val="es-EC" w:eastAsia="es-EC"/>
        </w:rPr>
        <w:t xml:space="preserve">tan por sí mismos el servicio, por </w:t>
      </w:r>
      <w:r>
        <w:rPr>
          <w:rFonts w:ascii="Arial" w:hAnsi="Arial" w:cs="Arial"/>
          <w:sz w:val="22"/>
          <w:szCs w:val="22"/>
          <w:lang w:val="es-EC" w:eastAsia="es-EC"/>
        </w:rPr>
        <w:t>ejemplo</w:t>
      </w:r>
      <w:r w:rsidR="008734F8">
        <w:rPr>
          <w:rFonts w:ascii="Arial" w:hAnsi="Arial" w:cs="Arial"/>
          <w:sz w:val="22"/>
          <w:szCs w:val="22"/>
          <w:lang w:val="es-EC" w:eastAsia="es-EC"/>
        </w:rPr>
        <w:t xml:space="preserve"> (caso de compra de cartera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y otros casos que apliquen) el código de éste campo será el código de la compañía de servicios auxiliares.</w:t>
      </w:r>
    </w:p>
    <w:p w:rsidR="00207185" w:rsidRDefault="00207185" w:rsidP="008734F8">
      <w:pPr>
        <w:pStyle w:val="Prrafodelista"/>
        <w:numPr>
          <w:ilvl w:val="0"/>
          <w:numId w:val="5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Cuando las compañías de servicios auxiliares prestan el servicio a terceros, es decir a personas naturales o jurídicas que no pertenecen al sistema financiero, deberán reportar el número de RUC de dichas personas.</w:t>
      </w:r>
    </w:p>
    <w:p w:rsidR="00207185" w:rsidRPr="00C81276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val="es-EC" w:eastAsia="es-EC"/>
        </w:rPr>
        <w:t>Número de transacciones</w:t>
      </w:r>
      <w:r>
        <w:rPr>
          <w:rFonts w:ascii="Arial" w:hAnsi="Arial" w:cs="Arial"/>
          <w:b/>
          <w:sz w:val="22"/>
          <w:szCs w:val="22"/>
          <w:lang w:val="es-EC" w:eastAsia="es-EC"/>
        </w:rPr>
        <w:t xml:space="preserve"> realizadas y facturadas</w:t>
      </w:r>
      <w:r w:rsidRPr="00F026CF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Se refiere al conteo </w:t>
      </w:r>
      <w:r w:rsidRPr="00F026CF">
        <w:rPr>
          <w:rFonts w:ascii="Arial" w:hAnsi="Arial" w:cs="Arial"/>
          <w:sz w:val="22"/>
          <w:szCs w:val="22"/>
          <w:lang w:val="es-EC" w:eastAsia="es-EC"/>
        </w:rPr>
        <w:t>de todas las transacciones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ejecutadas</w:t>
      </w:r>
      <w:r w:rsidR="002E75FD">
        <w:rPr>
          <w:rFonts w:ascii="Arial" w:hAnsi="Arial" w:cs="Arial"/>
          <w:sz w:val="22"/>
          <w:szCs w:val="22"/>
          <w:lang w:val="es-EC" w:eastAsia="es-EC"/>
        </w:rPr>
        <w:t xml:space="preserve"> en el mes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por la compañía de servicios auxiliares, por las cuales recibió o recibirá el pago correspondiente.  </w:t>
      </w:r>
    </w:p>
    <w:p w:rsidR="00207185" w:rsidRPr="00C81276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val="es-EC" w:eastAsia="es-EC"/>
        </w:rPr>
        <w:t>Número de transacciones</w:t>
      </w:r>
      <w:r>
        <w:rPr>
          <w:rFonts w:ascii="Arial" w:hAnsi="Arial" w:cs="Arial"/>
          <w:b/>
          <w:sz w:val="22"/>
          <w:szCs w:val="22"/>
          <w:lang w:val="es-EC" w:eastAsia="es-EC"/>
        </w:rPr>
        <w:t xml:space="preserve"> realizadas y no facturables</w:t>
      </w:r>
      <w:r w:rsidRPr="00F026CF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 w:rsidRPr="00F026CF">
        <w:rPr>
          <w:rFonts w:ascii="Arial" w:hAnsi="Arial" w:cs="Arial"/>
          <w:sz w:val="22"/>
          <w:szCs w:val="22"/>
          <w:lang w:val="es-EC" w:eastAsia="es-EC"/>
        </w:rPr>
        <w:t xml:space="preserve">Se refiere </w:t>
      </w:r>
      <w:r>
        <w:rPr>
          <w:rFonts w:ascii="Arial" w:hAnsi="Arial" w:cs="Arial"/>
          <w:sz w:val="22"/>
          <w:szCs w:val="22"/>
          <w:lang w:val="es-EC" w:eastAsia="es-EC"/>
        </w:rPr>
        <w:t xml:space="preserve">al conteo </w:t>
      </w:r>
      <w:r w:rsidRPr="00F026CF">
        <w:rPr>
          <w:rFonts w:ascii="Arial" w:hAnsi="Arial" w:cs="Arial"/>
          <w:sz w:val="22"/>
          <w:szCs w:val="22"/>
          <w:lang w:val="es-EC" w:eastAsia="es-EC"/>
        </w:rPr>
        <w:t>de todas las transacciones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ejecutadas </w:t>
      </w:r>
      <w:r w:rsidR="002E75FD">
        <w:rPr>
          <w:rFonts w:ascii="Arial" w:hAnsi="Arial" w:cs="Arial"/>
          <w:sz w:val="22"/>
          <w:szCs w:val="22"/>
          <w:lang w:val="es-EC" w:eastAsia="es-EC"/>
        </w:rPr>
        <w:t xml:space="preserve">en el trimestre </w:t>
      </w:r>
      <w:r>
        <w:rPr>
          <w:rFonts w:ascii="Arial" w:hAnsi="Arial" w:cs="Arial"/>
          <w:sz w:val="22"/>
          <w:szCs w:val="22"/>
          <w:lang w:val="es-EC" w:eastAsia="es-EC"/>
        </w:rPr>
        <w:t>por la compañía de servicios auxiliares las cuales no son sujeto de facturación, es decir no rep</w:t>
      </w:r>
      <w:r w:rsidR="008734F8">
        <w:rPr>
          <w:rFonts w:ascii="Arial" w:hAnsi="Arial" w:cs="Arial"/>
          <w:sz w:val="22"/>
          <w:szCs w:val="22"/>
          <w:lang w:val="es-EC" w:eastAsia="es-EC"/>
        </w:rPr>
        <w:t>resentan ingresos para la misma (a</w:t>
      </w:r>
      <w:r>
        <w:rPr>
          <w:rFonts w:ascii="Arial" w:hAnsi="Arial" w:cs="Arial"/>
          <w:sz w:val="22"/>
          <w:szCs w:val="22"/>
          <w:lang w:val="es-EC" w:eastAsia="es-EC"/>
        </w:rPr>
        <w:t>plicable para empresas de cobranza</w:t>
      </w:r>
      <w:r w:rsidR="008734F8">
        <w:rPr>
          <w:rFonts w:ascii="Arial" w:hAnsi="Arial" w:cs="Arial"/>
          <w:sz w:val="22"/>
          <w:szCs w:val="22"/>
          <w:lang w:val="es-EC" w:eastAsia="es-EC"/>
        </w:rPr>
        <w:t>,</w:t>
      </w:r>
      <w:r>
        <w:rPr>
          <w:rFonts w:ascii="Arial" w:hAnsi="Arial" w:cs="Arial"/>
          <w:sz w:val="22"/>
          <w:szCs w:val="22"/>
          <w:lang w:val="es-EC" w:eastAsia="es-EC"/>
        </w:rPr>
        <w:t xml:space="preserve"> entre otras).</w:t>
      </w:r>
    </w:p>
    <w:p w:rsidR="00207185" w:rsidRPr="00C81276" w:rsidRDefault="00207185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 w:eastAsia="es-EC"/>
        </w:rPr>
      </w:pPr>
      <w:r>
        <w:rPr>
          <w:rFonts w:ascii="Arial" w:hAnsi="Arial" w:cs="Arial"/>
          <w:sz w:val="22"/>
          <w:szCs w:val="22"/>
          <w:lang w:val="es-EC" w:eastAsia="es-EC"/>
        </w:rPr>
        <w:t>En el caso de no existir transacciones de éste tipo, se debe ingresar el número "0”.</w:t>
      </w:r>
    </w:p>
    <w:p w:rsidR="00207185" w:rsidRPr="00F026CF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 w:rsidRPr="00F026CF">
        <w:rPr>
          <w:rFonts w:ascii="Arial" w:hAnsi="Arial" w:cs="Arial"/>
          <w:b/>
          <w:sz w:val="22"/>
          <w:szCs w:val="22"/>
          <w:lang w:val="es-EC" w:eastAsia="es-EC"/>
        </w:rPr>
        <w:t>Cargo en dólares.-</w:t>
      </w:r>
      <w:r w:rsidRPr="00F026CF">
        <w:rPr>
          <w:rFonts w:ascii="Arial" w:hAnsi="Arial" w:cs="Arial"/>
          <w:sz w:val="22"/>
          <w:szCs w:val="22"/>
          <w:lang w:val="es-EC" w:eastAsia="es-EC"/>
        </w:rPr>
        <w:t xml:space="preserve"> Es el valor en dólares que la </w:t>
      </w:r>
      <w:r>
        <w:rPr>
          <w:rFonts w:ascii="Arial" w:hAnsi="Arial" w:cs="Arial"/>
          <w:sz w:val="22"/>
          <w:szCs w:val="22"/>
          <w:lang w:val="es-EC" w:eastAsia="es-EC"/>
        </w:rPr>
        <w:t>compañía de servicios auxiliares</w:t>
      </w:r>
      <w:r w:rsidRPr="00F026CF">
        <w:rPr>
          <w:rFonts w:ascii="Arial" w:hAnsi="Arial" w:cs="Arial"/>
          <w:sz w:val="22"/>
          <w:szCs w:val="22"/>
          <w:lang w:val="es-EC" w:eastAsia="es-EC"/>
        </w:rPr>
        <w:t xml:space="preserve"> cobra por la contraprestación </w:t>
      </w:r>
      <w:r>
        <w:rPr>
          <w:rFonts w:ascii="Arial" w:hAnsi="Arial" w:cs="Arial"/>
          <w:sz w:val="22"/>
          <w:szCs w:val="22"/>
          <w:lang w:val="es-EC" w:eastAsia="es-EC"/>
        </w:rPr>
        <w:t>del servicio</w:t>
      </w:r>
      <w:r w:rsidRPr="00F026CF">
        <w:rPr>
          <w:rFonts w:ascii="Arial" w:hAnsi="Arial" w:cs="Arial"/>
          <w:sz w:val="22"/>
          <w:szCs w:val="22"/>
          <w:lang w:val="es-EC" w:eastAsia="es-EC"/>
        </w:rPr>
        <w:t>.</w:t>
      </w:r>
    </w:p>
    <w:p w:rsidR="00207185" w:rsidRDefault="00207185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En el caso de existir diferentes cargos en un mismo servicio financiero, se debe ingresar el promedio de los mismos.</w:t>
      </w:r>
    </w:p>
    <w:p w:rsidR="00207185" w:rsidRDefault="00207185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En el caso de existir un valor total pagado para un grupo de transacciones, se debe calcular el valor individual.</w:t>
      </w:r>
    </w:p>
    <w:p w:rsidR="002E75FD" w:rsidRDefault="002E75FD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207185" w:rsidRPr="006D45E3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6D45E3">
        <w:rPr>
          <w:rFonts w:ascii="Arial" w:hAnsi="Arial" w:cs="Arial"/>
          <w:b/>
          <w:sz w:val="22"/>
          <w:szCs w:val="22"/>
          <w:lang w:val="es-EC" w:eastAsia="es-EC"/>
        </w:rPr>
        <w:t>Cargo en porcentaje.-</w:t>
      </w:r>
      <w:r w:rsidRPr="006D45E3">
        <w:rPr>
          <w:rFonts w:ascii="Arial" w:hAnsi="Arial" w:cs="Arial"/>
          <w:sz w:val="22"/>
          <w:szCs w:val="22"/>
          <w:lang w:val="es-EC" w:eastAsia="es-EC"/>
        </w:rPr>
        <w:t xml:space="preserve"> Es el valor en porcentaje que la entidad cobra por la contraprestación efectiva de un servicio.</w:t>
      </w:r>
    </w:p>
    <w:p w:rsidR="00207185" w:rsidRDefault="00207185" w:rsidP="008734F8">
      <w:pPr>
        <w:spacing w:line="276" w:lineRule="auto"/>
        <w:ind w:left="426"/>
        <w:jc w:val="both"/>
        <w:rPr>
          <w:rFonts w:cs="Arial"/>
          <w:sz w:val="22"/>
          <w:szCs w:val="22"/>
          <w:lang w:eastAsia="es-EC"/>
        </w:rPr>
      </w:pPr>
      <w:r w:rsidRPr="006D45E3">
        <w:rPr>
          <w:rFonts w:cs="Arial"/>
          <w:sz w:val="22"/>
          <w:szCs w:val="22"/>
          <w:lang w:eastAsia="es-EC"/>
        </w:rPr>
        <w:t>En el caso de existir diferentes cargos en un mismo servicio financiero, se debe ingresar el promedio de los mismos.</w:t>
      </w:r>
    </w:p>
    <w:p w:rsidR="002E75FD" w:rsidRDefault="002E75FD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 w:rsidRPr="00DA467F"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207185" w:rsidRPr="000D3639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cs="Arial"/>
          <w:sz w:val="22"/>
          <w:szCs w:val="22"/>
          <w:lang w:eastAsia="es-EC"/>
        </w:rPr>
      </w:pPr>
      <w:r>
        <w:rPr>
          <w:rFonts w:ascii="Arial" w:hAnsi="Arial" w:cs="Arial"/>
          <w:b/>
          <w:sz w:val="22"/>
          <w:szCs w:val="22"/>
          <w:lang w:val="es-EC" w:eastAsia="es-EC"/>
        </w:rPr>
        <w:t>Quién asume el cargo</w:t>
      </w:r>
      <w:r w:rsidRPr="000D3639">
        <w:rPr>
          <w:rFonts w:ascii="Arial" w:hAnsi="Arial" w:cs="Arial"/>
          <w:b/>
          <w:sz w:val="22"/>
          <w:szCs w:val="22"/>
          <w:lang w:val="es-EC" w:eastAsia="es-EC"/>
        </w:rPr>
        <w:t xml:space="preserve">.- </w:t>
      </w:r>
      <w:r>
        <w:rPr>
          <w:rFonts w:ascii="Arial" w:hAnsi="Arial" w:cs="Arial"/>
          <w:sz w:val="22"/>
          <w:szCs w:val="22"/>
          <w:lang w:eastAsia="es-EC"/>
        </w:rPr>
        <w:t>identifica el sujeto quien asume e</w:t>
      </w:r>
      <w:r w:rsidR="008734F8">
        <w:rPr>
          <w:rFonts w:ascii="Arial" w:hAnsi="Arial" w:cs="Arial"/>
          <w:sz w:val="22"/>
          <w:szCs w:val="22"/>
          <w:lang w:eastAsia="es-EC"/>
        </w:rPr>
        <w:t>l pago por el servicio prestado</w:t>
      </w:r>
      <w:r>
        <w:rPr>
          <w:rFonts w:ascii="Arial" w:hAnsi="Arial" w:cs="Arial"/>
          <w:sz w:val="22"/>
          <w:szCs w:val="22"/>
          <w:lang w:eastAsia="es-EC"/>
        </w:rPr>
        <w:t xml:space="preserve"> </w:t>
      </w:r>
      <w:r w:rsidR="008734F8">
        <w:rPr>
          <w:rFonts w:ascii="Arial" w:hAnsi="Arial" w:cs="Arial"/>
          <w:sz w:val="22"/>
          <w:szCs w:val="22"/>
          <w:lang w:eastAsia="es-EC"/>
        </w:rPr>
        <w:t>(Tabla C)</w:t>
      </w:r>
      <w:r>
        <w:rPr>
          <w:rFonts w:cs="Arial"/>
          <w:sz w:val="22"/>
          <w:szCs w:val="22"/>
          <w:lang w:eastAsia="es-EC"/>
        </w:rPr>
        <w:t xml:space="preserve"> </w:t>
      </w:r>
    </w:p>
    <w:p w:rsidR="00207185" w:rsidRPr="002E75FD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eastAsia="es-EC"/>
        </w:rPr>
        <w:t xml:space="preserve">Ingreso bruto.- 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Es el valor en dólares por concepto de los ingresos efectivamente generados en el </w:t>
      </w:r>
      <w:r>
        <w:rPr>
          <w:rFonts w:ascii="Arial" w:hAnsi="Arial" w:cs="Arial"/>
          <w:sz w:val="22"/>
          <w:szCs w:val="22"/>
          <w:lang w:eastAsia="es-EC"/>
        </w:rPr>
        <w:t>mes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 por la presta</w:t>
      </w:r>
      <w:r>
        <w:rPr>
          <w:rFonts w:ascii="Arial" w:hAnsi="Arial" w:cs="Arial"/>
          <w:sz w:val="22"/>
          <w:szCs w:val="22"/>
          <w:lang w:eastAsia="es-EC"/>
        </w:rPr>
        <w:t>ción de un determinado servicio, sin considerar si han sido cobrados o no.</w:t>
      </w:r>
    </w:p>
    <w:p w:rsidR="002E75FD" w:rsidRDefault="002E75FD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207185" w:rsidRPr="002E75FD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 w:rsidRPr="006D45E3">
        <w:rPr>
          <w:rFonts w:ascii="Arial" w:hAnsi="Arial" w:cs="Arial"/>
          <w:b/>
          <w:sz w:val="22"/>
          <w:szCs w:val="22"/>
          <w:lang w:eastAsia="es-EC"/>
        </w:rPr>
        <w:t>Ingreso neto.-</w:t>
      </w:r>
      <w:r w:rsidRPr="006D45E3">
        <w:rPr>
          <w:rFonts w:ascii="Arial" w:hAnsi="Arial" w:cs="Arial"/>
          <w:sz w:val="22"/>
          <w:szCs w:val="22"/>
          <w:lang w:eastAsia="es-EC"/>
        </w:rPr>
        <w:t xml:space="preserve"> Es el valor en dólares por concepto de los ingresos efectivamente percibidos en el </w:t>
      </w:r>
      <w:r>
        <w:rPr>
          <w:rFonts w:ascii="Arial" w:hAnsi="Arial" w:cs="Arial"/>
          <w:sz w:val="22"/>
          <w:szCs w:val="22"/>
          <w:lang w:eastAsia="es-EC"/>
        </w:rPr>
        <w:t>mes</w:t>
      </w:r>
      <w:r w:rsidRPr="006D45E3">
        <w:rPr>
          <w:rFonts w:ascii="Arial" w:hAnsi="Arial" w:cs="Arial"/>
          <w:sz w:val="22"/>
          <w:szCs w:val="22"/>
          <w:lang w:eastAsia="es-EC"/>
        </w:rPr>
        <w:t xml:space="preserve"> por la prestación de un determinado </w:t>
      </w:r>
      <w:r w:rsidRPr="006D45E3">
        <w:rPr>
          <w:rFonts w:ascii="Arial" w:hAnsi="Arial" w:cs="Arial"/>
          <w:sz w:val="22"/>
          <w:szCs w:val="22"/>
          <w:lang w:eastAsia="es-EC"/>
        </w:rPr>
        <w:lastRenderedPageBreak/>
        <w:t>servicio.</w:t>
      </w:r>
      <w:r>
        <w:rPr>
          <w:rFonts w:ascii="Arial" w:hAnsi="Arial" w:cs="Arial"/>
          <w:sz w:val="22"/>
          <w:szCs w:val="22"/>
          <w:lang w:eastAsia="es-EC"/>
        </w:rPr>
        <w:t xml:space="preserve"> </w:t>
      </w:r>
      <w:r w:rsidR="008734F8">
        <w:rPr>
          <w:rFonts w:ascii="Arial" w:hAnsi="Arial" w:cs="Arial"/>
          <w:sz w:val="22"/>
          <w:szCs w:val="22"/>
          <w:lang w:eastAsia="es-EC"/>
        </w:rPr>
        <w:t xml:space="preserve"> </w:t>
      </w:r>
      <w:r>
        <w:rPr>
          <w:rFonts w:ascii="Arial" w:hAnsi="Arial" w:cs="Arial"/>
          <w:sz w:val="22"/>
          <w:szCs w:val="22"/>
          <w:lang w:eastAsia="es-EC"/>
        </w:rPr>
        <w:t>El valor reportado deberá corresponder al valor reportado en los balances de la compañía.</w:t>
      </w:r>
    </w:p>
    <w:p w:rsidR="002E75FD" w:rsidRDefault="002E75FD" w:rsidP="008734F8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s-EC"/>
        </w:rPr>
      </w:pPr>
      <w:r>
        <w:rPr>
          <w:rFonts w:ascii="Arial" w:hAnsi="Arial" w:cs="Arial"/>
          <w:sz w:val="22"/>
          <w:szCs w:val="22"/>
          <w:lang w:eastAsia="es-EC"/>
        </w:rPr>
        <w:t>El valor reportado no debe incluir IVA.</w:t>
      </w:r>
    </w:p>
    <w:p w:rsidR="00207185" w:rsidRPr="00F026CF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es-EC"/>
        </w:rPr>
      </w:pPr>
      <w:r w:rsidRPr="00F026CF">
        <w:rPr>
          <w:rFonts w:ascii="Arial" w:hAnsi="Arial" w:cs="Arial"/>
          <w:b/>
          <w:sz w:val="22"/>
          <w:szCs w:val="22"/>
          <w:lang w:eastAsia="es-EC"/>
        </w:rPr>
        <w:t>Base imponible (IVA).-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 Se  refiere al valor base del cargo por el servicio sobre la cual se calcula el importe del Impuesto al Valor Agregado (IVA).</w:t>
      </w:r>
    </w:p>
    <w:p w:rsidR="00207185" w:rsidRPr="00F026CF" w:rsidRDefault="00207185" w:rsidP="005E0FD3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EC" w:eastAsia="es-EC"/>
        </w:rPr>
      </w:pPr>
      <w:r w:rsidRPr="00F026CF">
        <w:rPr>
          <w:rFonts w:ascii="Arial" w:hAnsi="Arial" w:cs="Arial"/>
          <w:b/>
          <w:sz w:val="22"/>
          <w:szCs w:val="22"/>
          <w:lang w:eastAsia="es-EC"/>
        </w:rPr>
        <w:t>IVA pagado.-</w:t>
      </w:r>
      <w:r w:rsidRPr="00F026CF">
        <w:rPr>
          <w:rFonts w:ascii="Arial" w:hAnsi="Arial" w:cs="Arial"/>
          <w:sz w:val="22"/>
          <w:szCs w:val="22"/>
          <w:lang w:eastAsia="es-EC"/>
        </w:rPr>
        <w:t xml:space="preserve"> Es el valor por concepto del Impuesto al Valor Agregado (IVA) pagado por el cliente por la prestación de un servicio financiero y que la entidad financiera debe trasladar al SRI.</w:t>
      </w:r>
    </w:p>
    <w:p w:rsidR="00222839" w:rsidRPr="005E0FD3" w:rsidRDefault="00222839" w:rsidP="005E0FD3">
      <w:pPr>
        <w:spacing w:line="276" w:lineRule="auto"/>
        <w:jc w:val="both"/>
        <w:rPr>
          <w:rFonts w:cs="Arial"/>
          <w:color w:val="000000"/>
          <w:sz w:val="22"/>
          <w:szCs w:val="22"/>
          <w:lang w:val="es-EC" w:eastAsia="es-EC"/>
        </w:rPr>
      </w:pPr>
    </w:p>
    <w:p w:rsidR="008D2487" w:rsidRPr="005E0FD3" w:rsidRDefault="00152604" w:rsidP="005E0FD3">
      <w:pPr>
        <w:shd w:val="clear" w:color="auto" w:fill="B8CCE4" w:themeFill="accent1" w:themeFillTint="66"/>
        <w:spacing w:line="276" w:lineRule="auto"/>
        <w:jc w:val="both"/>
        <w:rPr>
          <w:rFonts w:cs="Arial"/>
          <w:b/>
          <w:color w:val="000000"/>
          <w:sz w:val="22"/>
          <w:szCs w:val="22"/>
          <w:lang w:val="es-EC" w:eastAsia="es-EC"/>
        </w:rPr>
      </w:pPr>
      <w:r>
        <w:rPr>
          <w:rFonts w:cs="Arial"/>
          <w:b/>
          <w:color w:val="000000"/>
          <w:sz w:val="22"/>
          <w:szCs w:val="22"/>
          <w:lang w:val="es-EC" w:eastAsia="es-EC"/>
        </w:rPr>
        <w:t>Tablas del Formulario</w:t>
      </w:r>
    </w:p>
    <w:p w:rsidR="008D2487" w:rsidRDefault="008D2487" w:rsidP="00174C63">
      <w:pPr>
        <w:spacing w:line="276" w:lineRule="auto"/>
      </w:pPr>
    </w:p>
    <w:p w:rsidR="008D2487" w:rsidRDefault="008A79F4" w:rsidP="005E0FD3">
      <w:pPr>
        <w:spacing w:line="276" w:lineRule="auto"/>
        <w:jc w:val="center"/>
        <w:rPr>
          <w:b/>
        </w:rPr>
      </w:pPr>
      <w:r w:rsidRPr="005E0FD3">
        <w:rPr>
          <w:b/>
        </w:rPr>
        <w:t>Tabla A</w:t>
      </w:r>
      <w:r w:rsidR="00152604" w:rsidRPr="005E0FD3">
        <w:rPr>
          <w:b/>
        </w:rPr>
        <w:t>: Tipo de Calificación</w:t>
      </w:r>
      <w:r w:rsidR="00684976" w:rsidRPr="005E0FD3">
        <w:rPr>
          <w:b/>
        </w:rPr>
        <w:t xml:space="preserve"> (ingresar los códigos en letras MAYÚSCULAS)</w:t>
      </w:r>
    </w:p>
    <w:p w:rsidR="008734F8" w:rsidRPr="005E0FD3" w:rsidRDefault="008734F8" w:rsidP="005E0FD3">
      <w:pPr>
        <w:spacing w:line="276" w:lineRule="auto"/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5118"/>
      </w:tblGrid>
      <w:tr w:rsidR="008734F8" w:rsidRPr="008734F8" w:rsidTr="008734F8">
        <w:trPr>
          <w:trHeight w:val="60"/>
          <w:jc w:val="center"/>
        </w:trPr>
        <w:tc>
          <w:tcPr>
            <w:tcW w:w="2787" w:type="dxa"/>
            <w:shd w:val="clear" w:color="auto" w:fill="1F497D" w:themeFill="text2"/>
          </w:tcPr>
          <w:p w:rsidR="00152604" w:rsidRPr="008734F8" w:rsidRDefault="00152604" w:rsidP="00152604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734F8">
              <w:rPr>
                <w:b/>
                <w:color w:val="FFFFFF" w:themeColor="background1"/>
              </w:rPr>
              <w:t>Código a Ingresar en el Formulario</w:t>
            </w:r>
          </w:p>
        </w:tc>
        <w:tc>
          <w:tcPr>
            <w:tcW w:w="5118" w:type="dxa"/>
            <w:shd w:val="clear" w:color="auto" w:fill="1F497D" w:themeFill="text2"/>
            <w:vAlign w:val="center"/>
          </w:tcPr>
          <w:p w:rsidR="00152604" w:rsidRPr="008734F8" w:rsidRDefault="00152604" w:rsidP="008734F8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734F8">
              <w:rPr>
                <w:b/>
                <w:color w:val="FFFFFF" w:themeColor="background1"/>
              </w:rPr>
              <w:t>Resolución No. 382-2017-F</w:t>
            </w:r>
          </w:p>
        </w:tc>
      </w:tr>
      <w:tr w:rsidR="007D2B54" w:rsidTr="008734F8">
        <w:trPr>
          <w:trHeight w:val="60"/>
          <w:jc w:val="center"/>
        </w:trPr>
        <w:tc>
          <w:tcPr>
            <w:tcW w:w="2787" w:type="dxa"/>
          </w:tcPr>
          <w:p w:rsidR="007D2B54" w:rsidRPr="008734F8" w:rsidRDefault="007D2B54" w:rsidP="001526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1</w:t>
            </w:r>
          </w:p>
        </w:tc>
        <w:tc>
          <w:tcPr>
            <w:tcW w:w="5118" w:type="dxa"/>
          </w:tcPr>
          <w:p w:rsidR="007D2B54" w:rsidRPr="008734F8" w:rsidRDefault="007D2B54" w:rsidP="00174C63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Software Bancario y de Computación</w:t>
            </w:r>
          </w:p>
        </w:tc>
      </w:tr>
      <w:tr w:rsidR="00152604" w:rsidTr="008734F8">
        <w:trPr>
          <w:trHeight w:val="60"/>
          <w:jc w:val="center"/>
        </w:trPr>
        <w:tc>
          <w:tcPr>
            <w:tcW w:w="2787" w:type="dxa"/>
          </w:tcPr>
          <w:p w:rsidR="00152604" w:rsidRPr="008734F8" w:rsidRDefault="007D2B54" w:rsidP="001526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2</w:t>
            </w:r>
          </w:p>
        </w:tc>
        <w:tc>
          <w:tcPr>
            <w:tcW w:w="5118" w:type="dxa"/>
          </w:tcPr>
          <w:p w:rsidR="00152604" w:rsidRPr="008734F8" w:rsidRDefault="00152604" w:rsidP="00174C63">
            <w:pPr>
              <w:spacing w:line="276" w:lineRule="auto"/>
              <w:rPr>
                <w:sz w:val="22"/>
                <w:szCs w:val="22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Transaccionales y de Pago</w:t>
            </w:r>
          </w:p>
        </w:tc>
      </w:tr>
      <w:tr w:rsidR="00152604" w:rsidTr="008734F8">
        <w:trPr>
          <w:trHeight w:val="60"/>
          <w:jc w:val="center"/>
        </w:trPr>
        <w:tc>
          <w:tcPr>
            <w:tcW w:w="2787" w:type="dxa"/>
          </w:tcPr>
          <w:p w:rsidR="00152604" w:rsidRPr="008734F8" w:rsidRDefault="007D2B54" w:rsidP="001526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3</w:t>
            </w:r>
          </w:p>
        </w:tc>
        <w:tc>
          <w:tcPr>
            <w:tcW w:w="5118" w:type="dxa"/>
          </w:tcPr>
          <w:p w:rsidR="00152604" w:rsidRPr="008734F8" w:rsidRDefault="007D2B54" w:rsidP="00174C63">
            <w:pPr>
              <w:spacing w:line="276" w:lineRule="auto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Transporte de Especies Monetarias y Valores</w:t>
            </w:r>
          </w:p>
        </w:tc>
      </w:tr>
      <w:tr w:rsidR="007D2B54" w:rsidTr="008734F8">
        <w:trPr>
          <w:trHeight w:val="60"/>
          <w:jc w:val="center"/>
        </w:trPr>
        <w:tc>
          <w:tcPr>
            <w:tcW w:w="2787" w:type="dxa"/>
          </w:tcPr>
          <w:p w:rsidR="007D2B54" w:rsidRPr="008734F8" w:rsidRDefault="007D2B54" w:rsidP="001800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4</w:t>
            </w:r>
          </w:p>
        </w:tc>
        <w:tc>
          <w:tcPr>
            <w:tcW w:w="5118" w:type="dxa"/>
          </w:tcPr>
          <w:p w:rsidR="007D2B54" w:rsidRPr="008734F8" w:rsidRDefault="007D2B54" w:rsidP="001800B8">
            <w:pPr>
              <w:spacing w:line="276" w:lineRule="auto"/>
              <w:rPr>
                <w:sz w:val="22"/>
                <w:szCs w:val="22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Red de Cajeros Automáticos</w:t>
            </w:r>
          </w:p>
        </w:tc>
      </w:tr>
      <w:tr w:rsidR="007D2B54" w:rsidTr="008734F8">
        <w:trPr>
          <w:trHeight w:val="60"/>
          <w:jc w:val="center"/>
        </w:trPr>
        <w:tc>
          <w:tcPr>
            <w:tcW w:w="2787" w:type="dxa"/>
          </w:tcPr>
          <w:p w:rsidR="007D2B54" w:rsidRPr="008734F8" w:rsidRDefault="007D2B54" w:rsidP="001526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5</w:t>
            </w:r>
          </w:p>
        </w:tc>
        <w:tc>
          <w:tcPr>
            <w:tcW w:w="5118" w:type="dxa"/>
          </w:tcPr>
          <w:p w:rsidR="007D2B54" w:rsidRPr="008734F8" w:rsidRDefault="007D2B54" w:rsidP="00152604">
            <w:pPr>
              <w:spacing w:line="276" w:lineRule="auto"/>
              <w:rPr>
                <w:sz w:val="22"/>
                <w:szCs w:val="22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Cobranza</w:t>
            </w:r>
          </w:p>
        </w:tc>
      </w:tr>
      <w:tr w:rsidR="007D2B54" w:rsidTr="008734F8">
        <w:trPr>
          <w:trHeight w:val="60"/>
          <w:jc w:val="center"/>
        </w:trPr>
        <w:tc>
          <w:tcPr>
            <w:tcW w:w="2787" w:type="dxa"/>
          </w:tcPr>
          <w:p w:rsidR="007D2B54" w:rsidRPr="008734F8" w:rsidRDefault="007D2B54" w:rsidP="001526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6</w:t>
            </w:r>
          </w:p>
        </w:tc>
        <w:tc>
          <w:tcPr>
            <w:tcW w:w="5118" w:type="dxa"/>
          </w:tcPr>
          <w:p w:rsidR="007D2B54" w:rsidRPr="008734F8" w:rsidRDefault="007D2B54" w:rsidP="00174C63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Servicios Contables</w:t>
            </w:r>
          </w:p>
        </w:tc>
      </w:tr>
      <w:tr w:rsidR="007D2B54" w:rsidTr="008734F8">
        <w:trPr>
          <w:trHeight w:val="60"/>
          <w:jc w:val="center"/>
        </w:trPr>
        <w:tc>
          <w:tcPr>
            <w:tcW w:w="2787" w:type="dxa"/>
            <w:vAlign w:val="center"/>
          </w:tcPr>
          <w:p w:rsidR="007D2B54" w:rsidRPr="008734F8" w:rsidRDefault="007D2B54" w:rsidP="008734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7</w:t>
            </w:r>
          </w:p>
        </w:tc>
        <w:tc>
          <w:tcPr>
            <w:tcW w:w="5118" w:type="dxa"/>
          </w:tcPr>
          <w:p w:rsidR="007D2B54" w:rsidRPr="008734F8" w:rsidRDefault="007D2B54" w:rsidP="00174C63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Industrias Gráficas dedicadas</w:t>
            </w:r>
            <w:r w:rsidR="008734F8"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 a la elaboración de formulario</w:t>
            </w: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 de cheques</w:t>
            </w:r>
          </w:p>
        </w:tc>
      </w:tr>
      <w:tr w:rsidR="007D2B54" w:rsidTr="008734F8">
        <w:trPr>
          <w:trHeight w:val="60"/>
          <w:jc w:val="center"/>
        </w:trPr>
        <w:tc>
          <w:tcPr>
            <w:tcW w:w="2787" w:type="dxa"/>
          </w:tcPr>
          <w:p w:rsidR="007D2B54" w:rsidRPr="008734F8" w:rsidRDefault="007D2B54" w:rsidP="001526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8</w:t>
            </w:r>
          </w:p>
        </w:tc>
        <w:tc>
          <w:tcPr>
            <w:tcW w:w="5118" w:type="dxa"/>
          </w:tcPr>
          <w:p w:rsidR="007D2B54" w:rsidRPr="008734F8" w:rsidRDefault="008734F8" w:rsidP="00174C63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Generadora</w:t>
            </w:r>
            <w:r w:rsidR="007D2B54"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s de Cartera</w:t>
            </w:r>
          </w:p>
        </w:tc>
      </w:tr>
      <w:tr w:rsidR="007D2B54" w:rsidTr="008734F8">
        <w:trPr>
          <w:trHeight w:val="60"/>
          <w:jc w:val="center"/>
        </w:trPr>
        <w:tc>
          <w:tcPr>
            <w:tcW w:w="2787" w:type="dxa"/>
          </w:tcPr>
          <w:p w:rsidR="007D2B54" w:rsidRPr="008734F8" w:rsidRDefault="007D2B54" w:rsidP="001526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4F8">
              <w:rPr>
                <w:sz w:val="22"/>
                <w:szCs w:val="22"/>
              </w:rPr>
              <w:t>9</w:t>
            </w:r>
          </w:p>
        </w:tc>
        <w:tc>
          <w:tcPr>
            <w:tcW w:w="5118" w:type="dxa"/>
          </w:tcPr>
          <w:p w:rsidR="007D2B54" w:rsidRPr="008734F8" w:rsidRDefault="007D2B54" w:rsidP="00174C63">
            <w:pPr>
              <w:spacing w:line="276" w:lineRule="auto"/>
              <w:rPr>
                <w:sz w:val="22"/>
                <w:szCs w:val="22"/>
              </w:rPr>
            </w:pPr>
            <w:r w:rsidRPr="008734F8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Administradoras de Tarjetas de Crédito</w:t>
            </w:r>
          </w:p>
        </w:tc>
      </w:tr>
    </w:tbl>
    <w:p w:rsidR="00152604" w:rsidRDefault="00152604" w:rsidP="00174C63">
      <w:pPr>
        <w:spacing w:line="276" w:lineRule="auto"/>
      </w:pPr>
    </w:p>
    <w:p w:rsidR="00152604" w:rsidRDefault="008A79F4" w:rsidP="005E0FD3">
      <w:pPr>
        <w:spacing w:line="276" w:lineRule="auto"/>
        <w:jc w:val="center"/>
        <w:rPr>
          <w:b/>
        </w:rPr>
      </w:pPr>
      <w:r w:rsidRPr="005E0FD3">
        <w:rPr>
          <w:b/>
        </w:rPr>
        <w:t>Tabla B</w:t>
      </w:r>
      <w:r w:rsidR="00152604" w:rsidRPr="005E0FD3">
        <w:rPr>
          <w:b/>
        </w:rPr>
        <w:t xml:space="preserve">: </w:t>
      </w:r>
      <w:r w:rsidR="004F63E3" w:rsidRPr="005E0FD3">
        <w:rPr>
          <w:b/>
        </w:rPr>
        <w:t>Clase de Servicios</w:t>
      </w:r>
      <w:r w:rsidR="00684976" w:rsidRPr="005E0FD3">
        <w:rPr>
          <w:b/>
        </w:rPr>
        <w:t xml:space="preserve"> (ingresar los códigos en letras MAYÚSCULAS)</w:t>
      </w:r>
    </w:p>
    <w:p w:rsidR="008734F8" w:rsidRPr="005E0FD3" w:rsidRDefault="008734F8" w:rsidP="005E0FD3">
      <w:pPr>
        <w:spacing w:line="276" w:lineRule="auto"/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8"/>
      </w:tblGrid>
      <w:tr w:rsidR="008734F8" w:rsidRPr="008734F8" w:rsidTr="008734F8">
        <w:trPr>
          <w:trHeight w:val="60"/>
          <w:jc w:val="center"/>
        </w:trPr>
        <w:tc>
          <w:tcPr>
            <w:tcW w:w="2787" w:type="dxa"/>
            <w:shd w:val="clear" w:color="auto" w:fill="1F497D" w:themeFill="text2"/>
          </w:tcPr>
          <w:p w:rsidR="00152604" w:rsidRPr="008734F8" w:rsidRDefault="00152604" w:rsidP="00B8450C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734F8">
              <w:rPr>
                <w:b/>
                <w:color w:val="FFFFFF" w:themeColor="background1"/>
              </w:rPr>
              <w:t>Código a Ingresar en el Formulario</w:t>
            </w:r>
          </w:p>
        </w:tc>
        <w:tc>
          <w:tcPr>
            <w:tcW w:w="2788" w:type="dxa"/>
            <w:shd w:val="clear" w:color="auto" w:fill="1F497D" w:themeFill="text2"/>
            <w:vAlign w:val="center"/>
          </w:tcPr>
          <w:p w:rsidR="00152604" w:rsidRPr="008734F8" w:rsidRDefault="00152604" w:rsidP="008734F8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734F8">
              <w:rPr>
                <w:b/>
                <w:color w:val="FFFFFF" w:themeColor="background1"/>
              </w:rPr>
              <w:t>Resolución No. 382-2017-F</w:t>
            </w:r>
          </w:p>
        </w:tc>
      </w:tr>
      <w:tr w:rsidR="00152604" w:rsidTr="008734F8">
        <w:trPr>
          <w:trHeight w:val="128"/>
          <w:jc w:val="center"/>
        </w:trPr>
        <w:tc>
          <w:tcPr>
            <w:tcW w:w="2787" w:type="dxa"/>
            <w:vAlign w:val="center"/>
          </w:tcPr>
          <w:p w:rsidR="00152604" w:rsidRDefault="00B67F7F" w:rsidP="008734F8">
            <w:pPr>
              <w:spacing w:line="276" w:lineRule="auto"/>
              <w:jc w:val="center"/>
            </w:pPr>
            <w:r>
              <w:t>TB</w:t>
            </w:r>
          </w:p>
        </w:tc>
        <w:tc>
          <w:tcPr>
            <w:tcW w:w="2788" w:type="dxa"/>
          </w:tcPr>
          <w:p w:rsidR="00152604" w:rsidRPr="00152604" w:rsidRDefault="004F63E3" w:rsidP="00B8450C">
            <w:pPr>
              <w:spacing w:line="276" w:lineRule="auto"/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Servicios financieros básicos</w:t>
            </w:r>
          </w:p>
        </w:tc>
      </w:tr>
      <w:tr w:rsidR="00152604" w:rsidTr="008734F8">
        <w:trPr>
          <w:trHeight w:val="392"/>
          <w:jc w:val="center"/>
        </w:trPr>
        <w:tc>
          <w:tcPr>
            <w:tcW w:w="2787" w:type="dxa"/>
            <w:vAlign w:val="center"/>
          </w:tcPr>
          <w:p w:rsidR="00152604" w:rsidRDefault="00B67F7F" w:rsidP="008734F8">
            <w:pPr>
              <w:spacing w:line="276" w:lineRule="auto"/>
              <w:jc w:val="center"/>
            </w:pPr>
            <w:r>
              <w:t>TA</w:t>
            </w:r>
          </w:p>
        </w:tc>
        <w:tc>
          <w:tcPr>
            <w:tcW w:w="2788" w:type="dxa"/>
          </w:tcPr>
          <w:p w:rsidR="00152604" w:rsidRPr="00152604" w:rsidRDefault="004F63E3" w:rsidP="00B8450C">
            <w:pPr>
              <w:spacing w:line="276" w:lineRule="auto"/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Servicios con cargo máximo</w:t>
            </w:r>
          </w:p>
        </w:tc>
      </w:tr>
      <w:tr w:rsidR="00152604" w:rsidTr="008734F8">
        <w:trPr>
          <w:trHeight w:val="60"/>
          <w:jc w:val="center"/>
        </w:trPr>
        <w:tc>
          <w:tcPr>
            <w:tcW w:w="2787" w:type="dxa"/>
            <w:vAlign w:val="center"/>
          </w:tcPr>
          <w:p w:rsidR="00152604" w:rsidRDefault="00B67F7F" w:rsidP="008734F8">
            <w:pPr>
              <w:spacing w:line="276" w:lineRule="auto"/>
              <w:jc w:val="center"/>
            </w:pPr>
            <w:r>
              <w:t>TD</w:t>
            </w:r>
          </w:p>
        </w:tc>
        <w:tc>
          <w:tcPr>
            <w:tcW w:w="2788" w:type="dxa"/>
          </w:tcPr>
          <w:p w:rsidR="00152604" w:rsidRPr="00152604" w:rsidRDefault="004F63E3" w:rsidP="00B8450C">
            <w:pPr>
              <w:spacing w:line="276" w:lineRule="auto"/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Servicios con cargo diferenciado</w:t>
            </w:r>
            <w:r w:rsidR="00152604" w:rsidRPr="00152604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</w:tr>
    </w:tbl>
    <w:p w:rsidR="00C81276" w:rsidRDefault="00C81276" w:rsidP="00152604">
      <w:pPr>
        <w:spacing w:line="276" w:lineRule="auto"/>
      </w:pPr>
    </w:p>
    <w:p w:rsidR="008734F8" w:rsidRDefault="008734F8" w:rsidP="005E0FD3">
      <w:pPr>
        <w:spacing w:line="276" w:lineRule="auto"/>
        <w:jc w:val="center"/>
        <w:rPr>
          <w:b/>
        </w:rPr>
      </w:pPr>
    </w:p>
    <w:p w:rsidR="008734F8" w:rsidRDefault="008734F8" w:rsidP="005E0FD3">
      <w:pPr>
        <w:spacing w:line="276" w:lineRule="auto"/>
        <w:jc w:val="center"/>
        <w:rPr>
          <w:b/>
        </w:rPr>
      </w:pPr>
    </w:p>
    <w:p w:rsidR="008734F8" w:rsidRDefault="008734F8" w:rsidP="005E0FD3">
      <w:pPr>
        <w:spacing w:line="276" w:lineRule="auto"/>
        <w:jc w:val="center"/>
        <w:rPr>
          <w:b/>
        </w:rPr>
      </w:pPr>
    </w:p>
    <w:p w:rsidR="008734F8" w:rsidRDefault="008734F8" w:rsidP="005E0FD3">
      <w:pPr>
        <w:spacing w:line="276" w:lineRule="auto"/>
        <w:jc w:val="center"/>
        <w:rPr>
          <w:b/>
        </w:rPr>
      </w:pPr>
    </w:p>
    <w:p w:rsidR="008734F8" w:rsidRDefault="008734F8" w:rsidP="005E0FD3">
      <w:pPr>
        <w:spacing w:line="276" w:lineRule="auto"/>
        <w:jc w:val="center"/>
        <w:rPr>
          <w:b/>
        </w:rPr>
      </w:pPr>
    </w:p>
    <w:p w:rsidR="00C81276" w:rsidRDefault="00222839" w:rsidP="005E0FD3">
      <w:pPr>
        <w:spacing w:line="276" w:lineRule="auto"/>
        <w:jc w:val="center"/>
        <w:rPr>
          <w:b/>
        </w:rPr>
      </w:pPr>
      <w:r w:rsidRPr="005E0FD3">
        <w:rPr>
          <w:b/>
        </w:rPr>
        <w:lastRenderedPageBreak/>
        <w:t>Tabla C: Quién asume</w:t>
      </w:r>
      <w:r w:rsidR="00C81276" w:rsidRPr="005E0FD3">
        <w:rPr>
          <w:b/>
        </w:rPr>
        <w:t xml:space="preserve"> el cargo (ingresar los códigos en letras MAYÚSCULAS)</w:t>
      </w:r>
    </w:p>
    <w:p w:rsidR="008734F8" w:rsidRPr="005E0FD3" w:rsidRDefault="008734F8" w:rsidP="005E0FD3">
      <w:pPr>
        <w:spacing w:line="276" w:lineRule="auto"/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5118"/>
      </w:tblGrid>
      <w:tr w:rsidR="008734F8" w:rsidRPr="008734F8" w:rsidTr="008734F8">
        <w:trPr>
          <w:trHeight w:val="60"/>
          <w:jc w:val="center"/>
        </w:trPr>
        <w:tc>
          <w:tcPr>
            <w:tcW w:w="2787" w:type="dxa"/>
            <w:shd w:val="clear" w:color="auto" w:fill="1F497D" w:themeFill="text2"/>
          </w:tcPr>
          <w:p w:rsidR="00C81276" w:rsidRPr="008734F8" w:rsidRDefault="00C81276" w:rsidP="00AE684A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734F8">
              <w:rPr>
                <w:b/>
                <w:color w:val="FFFFFF" w:themeColor="background1"/>
              </w:rPr>
              <w:t>Código a Ingresar en el Formulario</w:t>
            </w:r>
          </w:p>
        </w:tc>
        <w:tc>
          <w:tcPr>
            <w:tcW w:w="5118" w:type="dxa"/>
            <w:shd w:val="clear" w:color="auto" w:fill="1F497D" w:themeFill="text2"/>
            <w:vAlign w:val="center"/>
          </w:tcPr>
          <w:p w:rsidR="00C81276" w:rsidRPr="008734F8" w:rsidRDefault="00C81276" w:rsidP="008734F8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734F8">
              <w:rPr>
                <w:b/>
                <w:color w:val="FFFFFF" w:themeColor="background1"/>
              </w:rPr>
              <w:t>Resolución No. 382-2017-F</w:t>
            </w:r>
          </w:p>
        </w:tc>
      </w:tr>
      <w:tr w:rsidR="00C81276" w:rsidTr="008734F8">
        <w:trPr>
          <w:jc w:val="center"/>
        </w:trPr>
        <w:tc>
          <w:tcPr>
            <w:tcW w:w="2787" w:type="dxa"/>
            <w:vAlign w:val="center"/>
          </w:tcPr>
          <w:p w:rsidR="00C81276" w:rsidRDefault="00C81276" w:rsidP="008734F8">
            <w:pPr>
              <w:spacing w:line="276" w:lineRule="auto"/>
              <w:jc w:val="center"/>
            </w:pPr>
            <w:r>
              <w:t>U</w:t>
            </w:r>
          </w:p>
        </w:tc>
        <w:tc>
          <w:tcPr>
            <w:tcW w:w="5118" w:type="dxa"/>
          </w:tcPr>
          <w:p w:rsidR="00C81276" w:rsidRPr="00152604" w:rsidRDefault="00C81276" w:rsidP="00AE684A">
            <w:pPr>
              <w:spacing w:line="276" w:lineRule="auto"/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Usuario Financiero</w:t>
            </w:r>
          </w:p>
        </w:tc>
      </w:tr>
      <w:tr w:rsidR="00C81276" w:rsidTr="008734F8">
        <w:trPr>
          <w:jc w:val="center"/>
        </w:trPr>
        <w:tc>
          <w:tcPr>
            <w:tcW w:w="2787" w:type="dxa"/>
            <w:vAlign w:val="center"/>
          </w:tcPr>
          <w:p w:rsidR="00C81276" w:rsidRDefault="00222839" w:rsidP="008734F8">
            <w:pPr>
              <w:spacing w:line="276" w:lineRule="auto"/>
              <w:jc w:val="center"/>
            </w:pPr>
            <w:r>
              <w:t>P</w:t>
            </w:r>
          </w:p>
        </w:tc>
        <w:tc>
          <w:tcPr>
            <w:tcW w:w="5118" w:type="dxa"/>
          </w:tcPr>
          <w:p w:rsidR="00C81276" w:rsidRPr="00152604" w:rsidRDefault="00C81276" w:rsidP="00AE684A">
            <w:pPr>
              <w:spacing w:line="276" w:lineRule="auto"/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Entidad Financiera</w:t>
            </w:r>
            <w:r w:rsidR="00222839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 Pública</w:t>
            </w:r>
          </w:p>
        </w:tc>
      </w:tr>
      <w:tr w:rsidR="00222839" w:rsidTr="008734F8">
        <w:trPr>
          <w:jc w:val="center"/>
        </w:trPr>
        <w:tc>
          <w:tcPr>
            <w:tcW w:w="2787" w:type="dxa"/>
            <w:vAlign w:val="center"/>
          </w:tcPr>
          <w:p w:rsidR="00222839" w:rsidRDefault="00222839" w:rsidP="008734F8">
            <w:pPr>
              <w:spacing w:line="276" w:lineRule="auto"/>
              <w:jc w:val="center"/>
            </w:pPr>
            <w:r>
              <w:t>E</w:t>
            </w:r>
          </w:p>
        </w:tc>
        <w:tc>
          <w:tcPr>
            <w:tcW w:w="5118" w:type="dxa"/>
          </w:tcPr>
          <w:p w:rsidR="00222839" w:rsidRDefault="00222839" w:rsidP="00AE684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Entidad Financiera Privada</w:t>
            </w:r>
          </w:p>
        </w:tc>
      </w:tr>
      <w:tr w:rsidR="00C81276" w:rsidTr="008734F8">
        <w:trPr>
          <w:jc w:val="center"/>
        </w:trPr>
        <w:tc>
          <w:tcPr>
            <w:tcW w:w="2787" w:type="dxa"/>
            <w:vAlign w:val="center"/>
          </w:tcPr>
          <w:p w:rsidR="00C81276" w:rsidRDefault="00C81276" w:rsidP="008734F8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5118" w:type="dxa"/>
          </w:tcPr>
          <w:p w:rsidR="00C81276" w:rsidRPr="00152604" w:rsidRDefault="00C81276" w:rsidP="00AE684A">
            <w:pPr>
              <w:spacing w:line="276" w:lineRule="auto"/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Compañía de Servicios Auxiliares</w:t>
            </w:r>
            <w:r w:rsidRPr="00152604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</w:tr>
      <w:tr w:rsidR="00C81276" w:rsidTr="008734F8">
        <w:trPr>
          <w:jc w:val="center"/>
        </w:trPr>
        <w:tc>
          <w:tcPr>
            <w:tcW w:w="2787" w:type="dxa"/>
            <w:vAlign w:val="center"/>
          </w:tcPr>
          <w:p w:rsidR="00C81276" w:rsidRDefault="00C81276" w:rsidP="008734F8">
            <w:pPr>
              <w:spacing w:line="276" w:lineRule="auto"/>
              <w:jc w:val="center"/>
            </w:pPr>
            <w:r>
              <w:t>T</w:t>
            </w:r>
          </w:p>
        </w:tc>
        <w:tc>
          <w:tcPr>
            <w:tcW w:w="5118" w:type="dxa"/>
          </w:tcPr>
          <w:p w:rsidR="00C81276" w:rsidRDefault="00C81276" w:rsidP="00AE684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Terceros</w:t>
            </w:r>
            <w:r w:rsidR="009E3A99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 (persona natural o jurídica que no pertenece al sistema financiero)</w:t>
            </w:r>
          </w:p>
        </w:tc>
      </w:tr>
    </w:tbl>
    <w:p w:rsidR="00C81276" w:rsidRDefault="00C81276" w:rsidP="00152604">
      <w:pPr>
        <w:spacing w:line="276" w:lineRule="auto"/>
      </w:pPr>
    </w:p>
    <w:p w:rsidR="00152604" w:rsidRPr="005A0610" w:rsidRDefault="00152604" w:rsidP="00152604">
      <w:pPr>
        <w:shd w:val="clear" w:color="auto" w:fill="B8CCE4" w:themeFill="accent1" w:themeFillTint="66"/>
        <w:spacing w:line="276" w:lineRule="auto"/>
        <w:jc w:val="both"/>
        <w:rPr>
          <w:rFonts w:cs="Arial"/>
          <w:b/>
          <w:color w:val="000000"/>
          <w:sz w:val="22"/>
          <w:szCs w:val="22"/>
          <w:lang w:val="es-EC" w:eastAsia="es-EC"/>
        </w:rPr>
      </w:pPr>
      <w:r>
        <w:rPr>
          <w:rFonts w:cs="Arial"/>
          <w:b/>
          <w:color w:val="000000"/>
          <w:sz w:val="22"/>
          <w:szCs w:val="22"/>
          <w:lang w:val="es-EC" w:eastAsia="es-EC"/>
        </w:rPr>
        <w:t>Aclaraciones o dudas</w:t>
      </w:r>
    </w:p>
    <w:p w:rsidR="008D2487" w:rsidRDefault="008D2487" w:rsidP="00174C63">
      <w:pPr>
        <w:spacing w:line="276" w:lineRule="auto"/>
      </w:pPr>
    </w:p>
    <w:p w:rsidR="00152604" w:rsidRDefault="00152604" w:rsidP="00152604">
      <w:pPr>
        <w:spacing w:line="276" w:lineRule="auto"/>
        <w:jc w:val="both"/>
      </w:pPr>
      <w:r>
        <w:t xml:space="preserve">Si los funcionarios de su representada tienen alguna duda o requieren aclaraciones respecto al contenido del formulario o al cumplimiento de </w:t>
      </w:r>
      <w:r w:rsidR="00267612">
        <w:t xml:space="preserve">la </w:t>
      </w:r>
      <w:r>
        <w:t xml:space="preserve">presente circular, comunicarse con Karla Estrella, al teléfono 299 61 00, extensión </w:t>
      </w:r>
      <w:r w:rsidR="00765F0C">
        <w:t>1918</w:t>
      </w:r>
      <w:r w:rsidR="00B67F7F">
        <w:t>.</w:t>
      </w:r>
    </w:p>
    <w:sectPr w:rsidR="00152604" w:rsidSect="00787DF1">
      <w:pgSz w:w="11909" w:h="16834" w:code="9"/>
      <w:pgMar w:top="2837" w:right="1418" w:bottom="1987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1E84"/>
    <w:multiLevelType w:val="hybridMultilevel"/>
    <w:tmpl w:val="17BCDD1C"/>
    <w:lvl w:ilvl="0" w:tplc="77E29F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C25A4E"/>
    <w:multiLevelType w:val="hybridMultilevel"/>
    <w:tmpl w:val="72C686B0"/>
    <w:lvl w:ilvl="0" w:tplc="893C4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58FC"/>
    <w:multiLevelType w:val="hybridMultilevel"/>
    <w:tmpl w:val="7BF265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2383"/>
    <w:multiLevelType w:val="hybridMultilevel"/>
    <w:tmpl w:val="52D07BA6"/>
    <w:lvl w:ilvl="0" w:tplc="2AAC9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6F44"/>
    <w:multiLevelType w:val="hybridMultilevel"/>
    <w:tmpl w:val="5E74EC66"/>
    <w:lvl w:ilvl="0" w:tplc="9F20F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620"/>
    <w:multiLevelType w:val="hybridMultilevel"/>
    <w:tmpl w:val="331E83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020E9"/>
    <w:multiLevelType w:val="hybridMultilevel"/>
    <w:tmpl w:val="5E74EC66"/>
    <w:lvl w:ilvl="0" w:tplc="9F20F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5325"/>
    <w:multiLevelType w:val="multilevel"/>
    <w:tmpl w:val="FA22AD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F"/>
    <w:rsid w:val="00046644"/>
    <w:rsid w:val="0008352A"/>
    <w:rsid w:val="000D3639"/>
    <w:rsid w:val="00125ADB"/>
    <w:rsid w:val="00132CFA"/>
    <w:rsid w:val="00152604"/>
    <w:rsid w:val="00174C63"/>
    <w:rsid w:val="00176854"/>
    <w:rsid w:val="0018339C"/>
    <w:rsid w:val="001B7B4C"/>
    <w:rsid w:val="001C03D3"/>
    <w:rsid w:val="001D4191"/>
    <w:rsid w:val="00207185"/>
    <w:rsid w:val="00210D19"/>
    <w:rsid w:val="00222839"/>
    <w:rsid w:val="00267612"/>
    <w:rsid w:val="00281C47"/>
    <w:rsid w:val="002E75FD"/>
    <w:rsid w:val="002F695A"/>
    <w:rsid w:val="00321D43"/>
    <w:rsid w:val="00370D3C"/>
    <w:rsid w:val="0038431B"/>
    <w:rsid w:val="003859B8"/>
    <w:rsid w:val="0039702A"/>
    <w:rsid w:val="003D7BAE"/>
    <w:rsid w:val="003F1F6E"/>
    <w:rsid w:val="003F6EAA"/>
    <w:rsid w:val="00434747"/>
    <w:rsid w:val="00456190"/>
    <w:rsid w:val="004D2B26"/>
    <w:rsid w:val="004D451E"/>
    <w:rsid w:val="004E2878"/>
    <w:rsid w:val="004F63E3"/>
    <w:rsid w:val="005126A6"/>
    <w:rsid w:val="00535D80"/>
    <w:rsid w:val="0055648D"/>
    <w:rsid w:val="005820D3"/>
    <w:rsid w:val="0059431F"/>
    <w:rsid w:val="005A0610"/>
    <w:rsid w:val="005E0FD3"/>
    <w:rsid w:val="005F5EDC"/>
    <w:rsid w:val="00612CD0"/>
    <w:rsid w:val="00631506"/>
    <w:rsid w:val="00645A85"/>
    <w:rsid w:val="00684976"/>
    <w:rsid w:val="006A519C"/>
    <w:rsid w:val="006C0046"/>
    <w:rsid w:val="006D45E3"/>
    <w:rsid w:val="00752CF7"/>
    <w:rsid w:val="00765F0C"/>
    <w:rsid w:val="00787DF1"/>
    <w:rsid w:val="007A11DF"/>
    <w:rsid w:val="007D2B54"/>
    <w:rsid w:val="007F242A"/>
    <w:rsid w:val="008734F8"/>
    <w:rsid w:val="008900E0"/>
    <w:rsid w:val="0089321C"/>
    <w:rsid w:val="008A178C"/>
    <w:rsid w:val="008A79F4"/>
    <w:rsid w:val="008D2487"/>
    <w:rsid w:val="008D6BC2"/>
    <w:rsid w:val="008F79B2"/>
    <w:rsid w:val="00905CB4"/>
    <w:rsid w:val="00943695"/>
    <w:rsid w:val="009A0134"/>
    <w:rsid w:val="009E3A99"/>
    <w:rsid w:val="009F6C96"/>
    <w:rsid w:val="00A1368A"/>
    <w:rsid w:val="00A325BC"/>
    <w:rsid w:val="00A52770"/>
    <w:rsid w:val="00A6646F"/>
    <w:rsid w:val="00A7423E"/>
    <w:rsid w:val="00B11E70"/>
    <w:rsid w:val="00B32BDA"/>
    <w:rsid w:val="00B3301D"/>
    <w:rsid w:val="00B4450B"/>
    <w:rsid w:val="00B67F7F"/>
    <w:rsid w:val="00BC28E2"/>
    <w:rsid w:val="00C03BA5"/>
    <w:rsid w:val="00C661A9"/>
    <w:rsid w:val="00C81276"/>
    <w:rsid w:val="00CA1B79"/>
    <w:rsid w:val="00CC25D4"/>
    <w:rsid w:val="00CC74FB"/>
    <w:rsid w:val="00CF71AF"/>
    <w:rsid w:val="00D2114B"/>
    <w:rsid w:val="00D30BCA"/>
    <w:rsid w:val="00D31DFA"/>
    <w:rsid w:val="00D34FD8"/>
    <w:rsid w:val="00D7457D"/>
    <w:rsid w:val="00DA467F"/>
    <w:rsid w:val="00DD6FC3"/>
    <w:rsid w:val="00E064EB"/>
    <w:rsid w:val="00E51C03"/>
    <w:rsid w:val="00EC2FA1"/>
    <w:rsid w:val="00EC366E"/>
    <w:rsid w:val="00EC688F"/>
    <w:rsid w:val="00EE5C4D"/>
    <w:rsid w:val="00EF0A18"/>
    <w:rsid w:val="00F14914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D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A11DF"/>
    <w:pPr>
      <w:keepNext/>
      <w:spacing w:before="240" w:after="60"/>
      <w:outlineLvl w:val="1"/>
    </w:pPr>
    <w:rPr>
      <w:b/>
      <w:sz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11DF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11DF"/>
    <w:pPr>
      <w:ind w:left="720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4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48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7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D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A11DF"/>
    <w:pPr>
      <w:keepNext/>
      <w:spacing w:before="240" w:after="60"/>
      <w:outlineLvl w:val="1"/>
    </w:pPr>
    <w:rPr>
      <w:b/>
      <w:sz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11DF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11DF"/>
    <w:pPr>
      <w:ind w:left="720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4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48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7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bancos.gob.ec/bancos/catastro-publi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perbancos.gob.ec/bancos/manuales-de-repor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bancos.gob.ec/bancos/catastro-public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perbancos.gob.ec/bancos/catastro-publ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Estrella</dc:creator>
  <cp:lastModifiedBy>Maria Fernanda Velasco</cp:lastModifiedBy>
  <cp:revision>2</cp:revision>
  <cp:lastPrinted>2018-11-19T19:45:00Z</cp:lastPrinted>
  <dcterms:created xsi:type="dcterms:W3CDTF">2018-11-27T18:51:00Z</dcterms:created>
  <dcterms:modified xsi:type="dcterms:W3CDTF">2018-11-27T18:51:00Z</dcterms:modified>
</cp:coreProperties>
</file>