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web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1324"/>
        <w:gridCol w:w="702"/>
        <w:gridCol w:w="1682"/>
        <w:gridCol w:w="3400"/>
        <w:gridCol w:w="2998"/>
      </w:tblGrid>
      <w:tr w:rsidR="003F0D14" w:rsidRPr="00BB3D89" w:rsidTr="00051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tcW w:w="4960" w:type="pct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BB3D89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szCs w:val="20"/>
              </w:rPr>
              <w:t>FICHA METODOLÓGICA</w:t>
            </w:r>
          </w:p>
        </w:tc>
      </w:tr>
      <w:tr w:rsidR="003F0D14" w:rsidRPr="00BB3D89" w:rsidTr="00CB14FC">
        <w:trPr>
          <w:trHeight w:val="612"/>
          <w:jc w:val="center"/>
        </w:trPr>
        <w:tc>
          <w:tcPr>
            <w:tcW w:w="969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3972" w:type="pct"/>
            <w:gridSpan w:val="3"/>
            <w:vAlign w:val="center"/>
            <w:hideMark/>
          </w:tcPr>
          <w:p w:rsidR="003F0D14" w:rsidRPr="00922008" w:rsidRDefault="00994EC6" w:rsidP="00EB62CA">
            <w:pPr>
              <w:spacing w:before="100" w:beforeAutospacing="1" w:after="100" w:afterAutospacing="1"/>
              <w:jc w:val="both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0"/>
                <w:lang w:eastAsia="es-ES"/>
              </w:rPr>
              <w:t>CALIFICACIÓN DE CARTERA</w:t>
            </w:r>
            <w:r w:rsidR="00E71334"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0"/>
                <w:lang w:eastAsia="es-ES"/>
              </w:rPr>
              <w:t xml:space="preserve"> Y CONTINGENTES</w:t>
            </w:r>
          </w:p>
        </w:tc>
      </w:tr>
      <w:tr w:rsidR="003F0D14" w:rsidRPr="00BB3D89" w:rsidTr="00CB14FC">
        <w:trPr>
          <w:trHeight w:val="1629"/>
          <w:jc w:val="center"/>
        </w:trPr>
        <w:tc>
          <w:tcPr>
            <w:tcW w:w="969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DEFINICIÓN</w:t>
            </w:r>
          </w:p>
        </w:tc>
        <w:tc>
          <w:tcPr>
            <w:tcW w:w="3972" w:type="pct"/>
            <w:gridSpan w:val="3"/>
            <w:vAlign w:val="center"/>
            <w:hideMark/>
          </w:tcPr>
          <w:p w:rsidR="00EB62CA" w:rsidRPr="00EB62CA" w:rsidRDefault="00D34151" w:rsidP="00E71334">
            <w:pPr>
              <w:jc w:val="both"/>
              <w:rPr>
                <w:rFonts w:ascii="Helvetica" w:hAnsi="Helvetica" w:cs="Arial"/>
                <w:bCs/>
                <w:sz w:val="20"/>
                <w:szCs w:val="20"/>
                <w:lang w:val="es-ES"/>
              </w:rPr>
            </w:pPr>
            <w:r w:rsidRPr="00EB62CA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El indicador </w:t>
            </w:r>
            <w:r w:rsidR="00E71334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señala la calificación de los créditos y contingentes vigentes a la fecha de reporte 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del sistema financiero bajo el control de la Superintendencia de Bancos. </w:t>
            </w:r>
            <w:r w:rsidRPr="00C900C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Este indicador está  alineado al objetivo de establecer un sistema económico, social, solidario y sostenible mediante una política de incrementar el acc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eso</w:t>
            </w:r>
            <w:r w:rsidR="008F5383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de las personas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al sistema financiero.</w:t>
            </w:r>
          </w:p>
        </w:tc>
      </w:tr>
      <w:tr w:rsidR="003F0D14" w:rsidRPr="00BB3D89" w:rsidTr="00457DE7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3F0D14" w:rsidRPr="00BB3D89" w:rsidTr="00051DA1">
        <w:trPr>
          <w:trHeight w:val="513"/>
          <w:jc w:val="center"/>
        </w:trPr>
        <w:tc>
          <w:tcPr>
            <w:tcW w:w="4960" w:type="pct"/>
            <w:gridSpan w:val="5"/>
          </w:tcPr>
          <w:tbl>
            <w:tblPr>
              <w:tblStyle w:val="Tablaconcuadrcula"/>
              <w:tblW w:w="8136" w:type="dxa"/>
              <w:tblCellSpacing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02"/>
            </w:tblGrid>
            <w:tr w:rsidR="00E16B68" w:rsidRPr="00EB62CA" w:rsidTr="00950CA4">
              <w:trPr>
                <w:trHeight w:val="334"/>
                <w:tblCellSpacing w:w="20" w:type="dxa"/>
              </w:trPr>
              <w:tc>
                <w:tcPr>
                  <w:tcW w:w="1074" w:type="dxa"/>
                </w:tcPr>
                <w:p w:rsidR="00E16B68" w:rsidRDefault="000B69F1" w:rsidP="000B69F1">
                  <w:pPr>
                    <w:spacing w:after="200" w:line="276" w:lineRule="auto"/>
                    <w:rPr>
                      <w:rFonts w:ascii="Helvetica" w:hAnsi="Helvetica" w:cs="Arial"/>
                      <w:bCs/>
                      <w:sz w:val="20"/>
                      <w:szCs w:val="20"/>
                      <w:highlight w:val="yellow"/>
                      <w:lang w:val="es-EC"/>
                    </w:rPr>
                  </w:pPr>
                  <w:r w:rsidRPr="000B69F1">
                    <w:rPr>
                      <w:rFonts w:ascii="Helvetica" w:hAnsi="Helvetica" w:cs="Arial"/>
                      <w:bCs/>
                      <w:sz w:val="20"/>
                      <w:szCs w:val="20"/>
                      <w:lang w:val="es-EC"/>
                    </w:rPr>
                    <w:t xml:space="preserve">No </w:t>
                  </w:r>
                  <w:r>
                    <w:rPr>
                      <w:rFonts w:ascii="Helvetica" w:hAnsi="Helvetica" w:cs="Arial"/>
                      <w:bCs/>
                      <w:sz w:val="20"/>
                      <w:szCs w:val="20"/>
                      <w:lang w:val="es-EC"/>
                    </w:rPr>
                    <w:t>aplica</w:t>
                  </w:r>
                </w:p>
              </w:tc>
              <w:tc>
                <w:tcPr>
                  <w:tcW w:w="6942" w:type="dxa"/>
                </w:tcPr>
                <w:p w:rsidR="00E16B68" w:rsidRDefault="00E16B68" w:rsidP="00737A17">
                  <w:pPr>
                    <w:tabs>
                      <w:tab w:val="left" w:pos="140"/>
                    </w:tabs>
                    <w:ind w:left="140"/>
                    <w:jc w:val="both"/>
                    <w:rPr>
                      <w:rFonts w:ascii="Helvetica" w:hAnsi="Helvetica" w:cs="Arial"/>
                      <w:bCs/>
                      <w:sz w:val="20"/>
                      <w:szCs w:val="20"/>
                      <w:highlight w:val="yellow"/>
                      <w:lang w:val="es-EC"/>
                    </w:rPr>
                  </w:pPr>
                </w:p>
              </w:tc>
            </w:tr>
          </w:tbl>
          <w:p w:rsidR="003F0D14" w:rsidRPr="00EB62CA" w:rsidRDefault="003F0D14" w:rsidP="00A94B65">
            <w:pPr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F0D14" w:rsidRPr="00BB3D89" w:rsidTr="00457DE7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DEFINICIÓN DE LAS VARIABLES RELACIONADAS</w:t>
            </w:r>
          </w:p>
        </w:tc>
      </w:tr>
      <w:tr w:rsidR="003F0D14" w:rsidRPr="00BB3D89" w:rsidTr="00051DA1">
        <w:trPr>
          <w:trHeight w:val="513"/>
          <w:jc w:val="center"/>
        </w:trPr>
        <w:tc>
          <w:tcPr>
            <w:tcW w:w="4960" w:type="pct"/>
            <w:gridSpan w:val="5"/>
          </w:tcPr>
          <w:p w:rsidR="00D6643D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entidad: Clasificación por bancos privados, bancos públicos y sociedades financieras.</w:t>
            </w:r>
          </w:p>
          <w:p w:rsidR="000B69F1" w:rsidRDefault="000B69F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Entidad: Clasificación por cada una de las entidades financieras que han concedido operaciones de crédito.</w:t>
            </w:r>
          </w:p>
          <w:p w:rsidR="00951F81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crédito: Clasificación por créditos comerciales, de consumo, inmobiliarios, microcréditos, vivienda de interés público y educativo.</w:t>
            </w:r>
          </w:p>
          <w:p w:rsidR="00951F81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operación: Clasificación por operaciones de crédito y operaciones contingentes.</w:t>
            </w:r>
          </w:p>
          <w:p w:rsidR="00951F81" w:rsidRDefault="00E71334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Calificación</w:t>
            </w:r>
            <w:r w:rsidR="00951F81">
              <w:rPr>
                <w:rFonts w:ascii="Helvetica" w:hAnsi="Helvetica" w:cs="Arial"/>
                <w:bCs/>
                <w:sz w:val="20"/>
                <w:szCs w:val="20"/>
              </w:rPr>
              <w:t xml:space="preserve">: Clasificación 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>de las</w:t>
            </w:r>
            <w:r w:rsidR="00951F81">
              <w:rPr>
                <w:rFonts w:ascii="Helvetica" w:hAnsi="Helvetica" w:cs="Arial"/>
                <w:bCs/>
                <w:sz w:val="20"/>
                <w:szCs w:val="20"/>
              </w:rPr>
              <w:t xml:space="preserve"> operaciones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 en base a la calificación obtenida considerando su morosidad</w:t>
            </w:r>
            <w:r w:rsidR="00951F81">
              <w:rPr>
                <w:rFonts w:ascii="Helvetica" w:hAnsi="Helvetica" w:cs="Arial"/>
                <w:bCs/>
                <w:sz w:val="20"/>
                <w:szCs w:val="20"/>
              </w:rPr>
              <w:t>.</w:t>
            </w:r>
          </w:p>
          <w:p w:rsidR="008F5383" w:rsidRPr="00D6643D" w:rsidRDefault="00E71334" w:rsidP="005B660C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Saldo</w:t>
            </w:r>
            <w:r w:rsidR="008F5383">
              <w:rPr>
                <w:rFonts w:ascii="Helvetica" w:hAnsi="Helvetica" w:cs="Arial"/>
                <w:bCs/>
                <w:sz w:val="20"/>
                <w:szCs w:val="20"/>
              </w:rPr>
              <w:t xml:space="preserve">: </w:t>
            </w:r>
            <w:r w:rsidR="005B660C">
              <w:rPr>
                <w:rFonts w:ascii="Helvetica" w:hAnsi="Helvetica" w:cs="Arial"/>
                <w:bCs/>
                <w:sz w:val="20"/>
                <w:szCs w:val="20"/>
              </w:rPr>
              <w:t>Es el valor de los créditos vigentes a una fecha de corte determinada.</w:t>
            </w:r>
          </w:p>
        </w:tc>
      </w:tr>
      <w:tr w:rsidR="003F0D14" w:rsidRPr="00BB3D89" w:rsidTr="00457DE7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METODOLOGÍA DE CÁLCULO</w:t>
            </w:r>
          </w:p>
        </w:tc>
      </w:tr>
      <w:tr w:rsidR="003F0D14" w:rsidRPr="00BB3D89" w:rsidTr="00AF4013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3F0D14" w:rsidRPr="006F112B" w:rsidRDefault="005B660C" w:rsidP="005B660C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El reporte de calificación de cartera y contingentes se obtiene de la sumatoria de los saldos de los créditos de la cartera de crédito y contingentes que tienen las entidades financieras bajo el control de la Superintendencia de Bancos. Estas sumatorias se van agregando de acuerdo al tipo de crédito, tipo de operación y calificación otorgada.</w:t>
            </w:r>
          </w:p>
        </w:tc>
      </w:tr>
      <w:tr w:rsidR="003F0D14" w:rsidRPr="00BB3D89" w:rsidTr="00CB14FC">
        <w:trPr>
          <w:trHeight w:val="677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LIMITACIONES TÉCNICAS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3C6173" w:rsidRDefault="00835D66" w:rsidP="00397741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  <w:t>Ninguna</w:t>
            </w:r>
          </w:p>
        </w:tc>
      </w:tr>
      <w:tr w:rsidR="003F0D14" w:rsidRPr="00BB3D89" w:rsidTr="00CB14FC">
        <w:trPr>
          <w:trHeight w:val="799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UNIDAD DE MEDIDA DE LAS VARIABLES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3C6173" w:rsidRDefault="00835D66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  <w:t>Dólares</w:t>
            </w:r>
          </w:p>
        </w:tc>
      </w:tr>
      <w:tr w:rsidR="003F0D14" w:rsidRPr="00BB3D89" w:rsidTr="00CB14FC">
        <w:trPr>
          <w:trHeight w:val="630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INTERPRETACIÓN DEL INDICADOR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3C6173" w:rsidRDefault="00835D66" w:rsidP="005B660C">
            <w:pPr>
              <w:pStyle w:val="NormalWeb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Permite conocer </w:t>
            </w:r>
            <w:r w:rsidR="005B660C">
              <w:rPr>
                <w:rFonts w:ascii="Helvetica" w:hAnsi="Helvetica" w:cs="Helvetica"/>
                <w:sz w:val="20"/>
                <w:szCs w:val="20"/>
              </w:rPr>
              <w:t>los saldos de la cartera y contingentes y su calificación de acuerdo a su comportamiento</w:t>
            </w:r>
            <w:r w:rsidR="008024EA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  <w:tr w:rsidR="003F0D14" w:rsidRPr="00BB3D89" w:rsidTr="00CB14FC">
        <w:trPr>
          <w:trHeight w:val="627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FUENTE DE DATOS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3C6173" w:rsidRDefault="008024EA" w:rsidP="00E16B68">
            <w:pPr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>Estructuras integradas de datos remitidas por las entidades controladas por la Superintendencia de bancos</w:t>
            </w:r>
          </w:p>
        </w:tc>
      </w:tr>
      <w:tr w:rsidR="003F0D14" w:rsidRPr="00BB3D89" w:rsidTr="00CB14FC">
        <w:trPr>
          <w:trHeight w:val="741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PERIODICIDAD DEL INDICADOR Y/O LAS VARIABLES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8024EA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Mensual</w:t>
            </w:r>
          </w:p>
        </w:tc>
      </w:tr>
      <w:tr w:rsidR="003F0D14" w:rsidRPr="00BB3D89" w:rsidTr="00CB14FC">
        <w:trPr>
          <w:trHeight w:val="513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DISPONIBILIDAD DE LOS DATOS</w:t>
            </w:r>
            <w:r w:rsidR="0017037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(SERIE DE DATOS DISPONIBLES)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5B660C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Agosto de 2012</w:t>
            </w:r>
            <w:r w:rsidR="008024EA">
              <w:rPr>
                <w:rFonts w:ascii="Helvetica" w:eastAsia="Times New Roman" w:hAnsi="Helvetica" w:cs="Helvetica"/>
                <w:sz w:val="20"/>
                <w:szCs w:val="20"/>
              </w:rPr>
              <w:t xml:space="preserve"> en adelante.</w:t>
            </w:r>
          </w:p>
        </w:tc>
      </w:tr>
      <w:tr w:rsidR="003F0D14" w:rsidRPr="00BB3D89" w:rsidTr="00CB14FC">
        <w:trPr>
          <w:trHeight w:val="611"/>
          <w:jc w:val="center"/>
        </w:trPr>
        <w:tc>
          <w:tcPr>
            <w:tcW w:w="636" w:type="pct"/>
            <w:vMerge w:val="restart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NIVEL DE DESAGRE-GACIÓN</w:t>
            </w: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GEOGRÁFICO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BB3D89" w:rsidRDefault="005B660C" w:rsidP="00B259E4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Nacional</w:t>
            </w:r>
          </w:p>
        </w:tc>
      </w:tr>
      <w:tr w:rsidR="003F0D14" w:rsidRPr="00BB3D89" w:rsidTr="00CB14FC">
        <w:trPr>
          <w:trHeight w:val="513"/>
          <w:jc w:val="center"/>
        </w:trPr>
        <w:tc>
          <w:tcPr>
            <w:tcW w:w="636" w:type="pct"/>
            <w:vMerge/>
            <w:tcBorders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BB3D89" w:rsidRDefault="008024EA" w:rsidP="005B660C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Por tipo de entidad financiera, por entidad financiera, tipo</w:t>
            </w:r>
            <w:r w:rsidR="005B660C">
              <w:rPr>
                <w:rFonts w:ascii="Helvetica" w:eastAsia="Times New Roman" w:hAnsi="Helvetica" w:cs="Helvetica"/>
                <w:sz w:val="20"/>
                <w:szCs w:val="20"/>
              </w:rPr>
              <w:t xml:space="preserve"> de crédito, tipo de operación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.</w:t>
            </w:r>
          </w:p>
        </w:tc>
      </w:tr>
      <w:tr w:rsidR="003F0D14" w:rsidRPr="00BB3D89" w:rsidTr="00CB14FC">
        <w:trPr>
          <w:trHeight w:val="513"/>
          <w:jc w:val="center"/>
        </w:trPr>
        <w:tc>
          <w:tcPr>
            <w:tcW w:w="636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OTROS ÁMBITOS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BB3D89" w:rsidRDefault="005B660C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Calificación otorgada de acuerdo a la morosidad presentada</w:t>
            </w:r>
            <w:r w:rsidR="000B69F1">
              <w:rPr>
                <w:rFonts w:ascii="Helvetica" w:eastAsia="Times New Roman" w:hAnsi="Helvetica" w:cs="Helvetica"/>
                <w:sz w:val="20"/>
                <w:szCs w:val="20"/>
              </w:rPr>
              <w:t>.</w:t>
            </w:r>
          </w:p>
        </w:tc>
      </w:tr>
      <w:tr w:rsidR="003F0D14" w:rsidRPr="00BB3D89" w:rsidTr="00CB14FC">
        <w:trPr>
          <w:trHeight w:val="799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nil"/>
              <w:right w:val="outset" w:sz="2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lastRenderedPageBreak/>
              <w:t>INFORMACIÓN GEO– REFERENCIADA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710C91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No</w:t>
            </w:r>
          </w:p>
        </w:tc>
      </w:tr>
      <w:tr w:rsidR="003F0D14" w:rsidRPr="00BB3D89" w:rsidTr="00CB14FC">
        <w:trPr>
          <w:trHeight w:val="386"/>
          <w:jc w:val="center"/>
        </w:trPr>
        <w:tc>
          <w:tcPr>
            <w:tcW w:w="1794" w:type="pct"/>
            <w:gridSpan w:val="3"/>
            <w:tcBorders>
              <w:top w:val="nil"/>
              <w:bottom w:val="nil"/>
              <w:right w:val="outset" w:sz="2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RELACIÓN CON INSTRUMENTOS DE PLANIFICACIÓN NACIONAL E INTERNACIONAL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8D19C9" w:rsidRDefault="003F0D14" w:rsidP="003C6173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s-ES"/>
              </w:rPr>
            </w:pPr>
          </w:p>
        </w:tc>
      </w:tr>
      <w:tr w:rsidR="003F0D14" w:rsidRPr="00BB3D89" w:rsidTr="00CB14FC">
        <w:trPr>
          <w:trHeight w:val="391"/>
          <w:jc w:val="center"/>
        </w:trPr>
        <w:tc>
          <w:tcPr>
            <w:tcW w:w="1794" w:type="pct"/>
            <w:gridSpan w:val="3"/>
            <w:tcBorders>
              <w:top w:val="nil"/>
              <w:bottom w:val="nil"/>
              <w:right w:val="outset" w:sz="24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REFERENCIAS BIBLIOGRÁFICAS DE LA CONSTRUCCIÓN DEL INDICADOR</w:t>
            </w:r>
          </w:p>
        </w:tc>
        <w:tc>
          <w:tcPr>
            <w:tcW w:w="3146" w:type="pct"/>
            <w:gridSpan w:val="2"/>
            <w:vAlign w:val="center"/>
          </w:tcPr>
          <w:p w:rsidR="00B736D0" w:rsidRPr="000C133F" w:rsidRDefault="00B736D0" w:rsidP="003C6173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F0D14" w:rsidRPr="00BB3D89" w:rsidTr="00CB14FC">
        <w:trPr>
          <w:trHeight w:val="799"/>
          <w:jc w:val="center"/>
        </w:trPr>
        <w:tc>
          <w:tcPr>
            <w:tcW w:w="1794" w:type="pct"/>
            <w:gridSpan w:val="3"/>
            <w:tcBorders>
              <w:top w:val="nil"/>
              <w:bottom w:val="outset" w:sz="6" w:space="0" w:color="auto"/>
              <w:right w:val="outset" w:sz="2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FECHA DE ELABORACIÓN DE LA FICHA METODOLÓGICA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5B660C" w:rsidP="001F49D3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08/03/2018</w:t>
            </w:r>
          </w:p>
        </w:tc>
      </w:tr>
      <w:tr w:rsidR="003F0D14" w:rsidRPr="00BB3D89" w:rsidTr="00CB14FC">
        <w:trPr>
          <w:trHeight w:val="781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FECHA DE LA ÚLTIMA ACTUALIZACIÓN DE LA FICHA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5B660C" w:rsidP="00A94B65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08/03/2018</w:t>
            </w:r>
          </w:p>
        </w:tc>
      </w:tr>
      <w:tr w:rsidR="00CB14FC" w:rsidRPr="00BB3D89" w:rsidTr="00CB14FC">
        <w:trPr>
          <w:trHeight w:val="617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nil"/>
              <w:right w:val="outset" w:sz="24" w:space="0" w:color="auto"/>
            </w:tcBorders>
            <w:shd w:val="clear" w:color="auto" w:fill="95B3D7" w:themeFill="accent1" w:themeFillTint="99"/>
            <w:vAlign w:val="center"/>
          </w:tcPr>
          <w:p w:rsidR="00CB14FC" w:rsidRPr="00BB3D89" w:rsidRDefault="00CB14FC" w:rsidP="00664D31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CLASIFICADOR TEMÁTICO ESTADÍSTICO</w:t>
            </w:r>
          </w:p>
        </w:tc>
        <w:tc>
          <w:tcPr>
            <w:tcW w:w="1689" w:type="pct"/>
            <w:tcBorders>
              <w:right w:val="outset" w:sz="6" w:space="0" w:color="auto"/>
            </w:tcBorders>
            <w:vAlign w:val="center"/>
          </w:tcPr>
          <w:p w:rsidR="00CB14FC" w:rsidRPr="00BB3D89" w:rsidRDefault="00CB14FC" w:rsidP="00664D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Finanzas </w:t>
            </w:r>
          </w:p>
        </w:tc>
        <w:tc>
          <w:tcPr>
            <w:tcW w:w="1437" w:type="pct"/>
            <w:tcBorders>
              <w:left w:val="outset" w:sz="6" w:space="0" w:color="auto"/>
            </w:tcBorders>
            <w:vAlign w:val="center"/>
          </w:tcPr>
          <w:p w:rsidR="00CB14FC" w:rsidRPr="00BB3D89" w:rsidRDefault="00CB14FC" w:rsidP="00664D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</w:tr>
      <w:tr w:rsidR="00CB14FC" w:rsidRPr="00BB3D89" w:rsidTr="00CB14FC">
        <w:trPr>
          <w:trHeight w:val="591"/>
          <w:jc w:val="center"/>
        </w:trPr>
        <w:tc>
          <w:tcPr>
            <w:tcW w:w="1794" w:type="pct"/>
            <w:gridSpan w:val="3"/>
            <w:tcBorders>
              <w:top w:val="nil"/>
              <w:bottom w:val="outset" w:sz="6" w:space="0" w:color="auto"/>
              <w:right w:val="outset" w:sz="24" w:space="0" w:color="auto"/>
            </w:tcBorders>
            <w:shd w:val="clear" w:color="auto" w:fill="95B3D7" w:themeFill="accent1" w:themeFillTint="99"/>
            <w:vAlign w:val="center"/>
          </w:tcPr>
          <w:p w:rsidR="00CB14FC" w:rsidRPr="00BB3D89" w:rsidRDefault="00CB14FC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ELABORADO POR</w:t>
            </w:r>
          </w:p>
        </w:tc>
        <w:tc>
          <w:tcPr>
            <w:tcW w:w="3146" w:type="pct"/>
            <w:gridSpan w:val="2"/>
            <w:vAlign w:val="center"/>
          </w:tcPr>
          <w:p w:rsidR="00CB14FC" w:rsidRPr="00BB3D89" w:rsidRDefault="00CB14FC" w:rsidP="00D13D6A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Superintendencia de Bancos/Subdirección de Inteligencia de Negocios y Administración de la Información.</w:t>
            </w:r>
          </w:p>
        </w:tc>
      </w:tr>
    </w:tbl>
    <w:p w:rsidR="003D0EAA" w:rsidRDefault="003D0EAA"/>
    <w:p w:rsidR="003F0D14" w:rsidRDefault="003F0D14"/>
    <w:sectPr w:rsidR="003F0D14" w:rsidSect="004C63A5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F70"/>
    <w:multiLevelType w:val="hybridMultilevel"/>
    <w:tmpl w:val="73BA3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B2A2F"/>
    <w:multiLevelType w:val="hybridMultilevel"/>
    <w:tmpl w:val="F1B43FF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4"/>
    <w:rsid w:val="00026227"/>
    <w:rsid w:val="00037BBF"/>
    <w:rsid w:val="00051DA1"/>
    <w:rsid w:val="00070C69"/>
    <w:rsid w:val="000A40DF"/>
    <w:rsid w:val="000B1171"/>
    <w:rsid w:val="000B69F1"/>
    <w:rsid w:val="000C133F"/>
    <w:rsid w:val="000C76C1"/>
    <w:rsid w:val="000F7F33"/>
    <w:rsid w:val="00102044"/>
    <w:rsid w:val="00125BE5"/>
    <w:rsid w:val="001516D0"/>
    <w:rsid w:val="00152A98"/>
    <w:rsid w:val="00166DAD"/>
    <w:rsid w:val="00170370"/>
    <w:rsid w:val="001719CC"/>
    <w:rsid w:val="001B2377"/>
    <w:rsid w:val="001B41D2"/>
    <w:rsid w:val="001C647D"/>
    <w:rsid w:val="001F4452"/>
    <w:rsid w:val="001F49D3"/>
    <w:rsid w:val="00210D95"/>
    <w:rsid w:val="00283338"/>
    <w:rsid w:val="002841BA"/>
    <w:rsid w:val="002B7F28"/>
    <w:rsid w:val="002D3141"/>
    <w:rsid w:val="002D37AE"/>
    <w:rsid w:val="003662F7"/>
    <w:rsid w:val="00376F0B"/>
    <w:rsid w:val="00394C5A"/>
    <w:rsid w:val="00395929"/>
    <w:rsid w:val="00397741"/>
    <w:rsid w:val="003A1D28"/>
    <w:rsid w:val="003C6173"/>
    <w:rsid w:val="003D0EAA"/>
    <w:rsid w:val="003D2ABD"/>
    <w:rsid w:val="003D3CC1"/>
    <w:rsid w:val="003F0D14"/>
    <w:rsid w:val="003F1164"/>
    <w:rsid w:val="003F73D5"/>
    <w:rsid w:val="00402C1A"/>
    <w:rsid w:val="004316E2"/>
    <w:rsid w:val="00457DE7"/>
    <w:rsid w:val="004C426B"/>
    <w:rsid w:val="004C63A5"/>
    <w:rsid w:val="004F74AA"/>
    <w:rsid w:val="00506C1D"/>
    <w:rsid w:val="00513383"/>
    <w:rsid w:val="00517E32"/>
    <w:rsid w:val="005244AC"/>
    <w:rsid w:val="0053019F"/>
    <w:rsid w:val="00585096"/>
    <w:rsid w:val="005B2BA0"/>
    <w:rsid w:val="005B660C"/>
    <w:rsid w:val="005C7AEA"/>
    <w:rsid w:val="005D32CF"/>
    <w:rsid w:val="005E0FCD"/>
    <w:rsid w:val="0061707F"/>
    <w:rsid w:val="0062276F"/>
    <w:rsid w:val="006700FE"/>
    <w:rsid w:val="00693BF0"/>
    <w:rsid w:val="006D53CF"/>
    <w:rsid w:val="006E6B0E"/>
    <w:rsid w:val="006F112B"/>
    <w:rsid w:val="00701521"/>
    <w:rsid w:val="007105E4"/>
    <w:rsid w:val="00710C91"/>
    <w:rsid w:val="00714FCB"/>
    <w:rsid w:val="00720623"/>
    <w:rsid w:val="00733A20"/>
    <w:rsid w:val="00737A17"/>
    <w:rsid w:val="0074271F"/>
    <w:rsid w:val="007477B8"/>
    <w:rsid w:val="00776EB3"/>
    <w:rsid w:val="00784D69"/>
    <w:rsid w:val="007D66FD"/>
    <w:rsid w:val="007F2E58"/>
    <w:rsid w:val="008024EA"/>
    <w:rsid w:val="00835D66"/>
    <w:rsid w:val="00846EEF"/>
    <w:rsid w:val="00856C80"/>
    <w:rsid w:val="00880B78"/>
    <w:rsid w:val="00895C43"/>
    <w:rsid w:val="008C30C2"/>
    <w:rsid w:val="008D19C9"/>
    <w:rsid w:val="008E656B"/>
    <w:rsid w:val="008F5383"/>
    <w:rsid w:val="00910E47"/>
    <w:rsid w:val="00922008"/>
    <w:rsid w:val="0093563C"/>
    <w:rsid w:val="00950CA4"/>
    <w:rsid w:val="00951F81"/>
    <w:rsid w:val="009832B5"/>
    <w:rsid w:val="00992594"/>
    <w:rsid w:val="00994EC6"/>
    <w:rsid w:val="009C0E85"/>
    <w:rsid w:val="00A50B9D"/>
    <w:rsid w:val="00AF4013"/>
    <w:rsid w:val="00B228B4"/>
    <w:rsid w:val="00B23922"/>
    <w:rsid w:val="00B259E4"/>
    <w:rsid w:val="00B25A38"/>
    <w:rsid w:val="00B30F63"/>
    <w:rsid w:val="00B34541"/>
    <w:rsid w:val="00B60235"/>
    <w:rsid w:val="00B736D0"/>
    <w:rsid w:val="00B906B4"/>
    <w:rsid w:val="00BA0140"/>
    <w:rsid w:val="00BA625A"/>
    <w:rsid w:val="00BD20C2"/>
    <w:rsid w:val="00C02976"/>
    <w:rsid w:val="00C064C4"/>
    <w:rsid w:val="00C17DAC"/>
    <w:rsid w:val="00C20200"/>
    <w:rsid w:val="00C2364C"/>
    <w:rsid w:val="00C43506"/>
    <w:rsid w:val="00C45F0E"/>
    <w:rsid w:val="00C900C1"/>
    <w:rsid w:val="00C94282"/>
    <w:rsid w:val="00CA1E16"/>
    <w:rsid w:val="00CB14FC"/>
    <w:rsid w:val="00CD1CFF"/>
    <w:rsid w:val="00CE371C"/>
    <w:rsid w:val="00D045DC"/>
    <w:rsid w:val="00D13D6A"/>
    <w:rsid w:val="00D34151"/>
    <w:rsid w:val="00D550DD"/>
    <w:rsid w:val="00D57CB2"/>
    <w:rsid w:val="00D6643D"/>
    <w:rsid w:val="00D758AE"/>
    <w:rsid w:val="00E16B68"/>
    <w:rsid w:val="00E37720"/>
    <w:rsid w:val="00E53F76"/>
    <w:rsid w:val="00E61B2C"/>
    <w:rsid w:val="00E71334"/>
    <w:rsid w:val="00E746A9"/>
    <w:rsid w:val="00EB62CA"/>
    <w:rsid w:val="00EC6474"/>
    <w:rsid w:val="00F2298C"/>
    <w:rsid w:val="00F50C4F"/>
    <w:rsid w:val="00F72C53"/>
    <w:rsid w:val="00FF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table" w:styleId="Tablaweb3">
    <w:name w:val="Table Web 3"/>
    <w:basedOn w:val="Tablanormal"/>
    <w:rsid w:val="003F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F0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0D14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BA"/>
    <w:rPr>
      <w:rFonts w:ascii="Tahoma" w:eastAsia="Batang" w:hAnsi="Tahoma" w:cs="Tahoma"/>
      <w:sz w:val="16"/>
      <w:szCs w:val="16"/>
      <w:lang w:eastAsia="ko-KR"/>
    </w:rPr>
  </w:style>
  <w:style w:type="paragraph" w:styleId="Prrafodelista">
    <w:name w:val="List Paragraph"/>
    <w:basedOn w:val="Normal"/>
    <w:uiPriority w:val="34"/>
    <w:qFormat/>
    <w:rsid w:val="008E656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B6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46EEF"/>
  </w:style>
  <w:style w:type="character" w:styleId="Hipervnculo">
    <w:name w:val="Hyperlink"/>
    <w:basedOn w:val="Fuentedeprrafopredeter"/>
    <w:uiPriority w:val="99"/>
    <w:semiHidden/>
    <w:unhideWhenUsed/>
    <w:rsid w:val="00846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table" w:styleId="Tablaweb3">
    <w:name w:val="Table Web 3"/>
    <w:basedOn w:val="Tablanormal"/>
    <w:rsid w:val="003F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F0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0D14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BA"/>
    <w:rPr>
      <w:rFonts w:ascii="Tahoma" w:eastAsia="Batang" w:hAnsi="Tahoma" w:cs="Tahoma"/>
      <w:sz w:val="16"/>
      <w:szCs w:val="16"/>
      <w:lang w:eastAsia="ko-KR"/>
    </w:rPr>
  </w:style>
  <w:style w:type="paragraph" w:styleId="Prrafodelista">
    <w:name w:val="List Paragraph"/>
    <w:basedOn w:val="Normal"/>
    <w:uiPriority w:val="34"/>
    <w:qFormat/>
    <w:rsid w:val="008E656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B6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46EEF"/>
  </w:style>
  <w:style w:type="character" w:styleId="Hipervnculo">
    <w:name w:val="Hyperlink"/>
    <w:basedOn w:val="Fuentedeprrafopredeter"/>
    <w:uiPriority w:val="99"/>
    <w:semiHidden/>
    <w:unhideWhenUsed/>
    <w:rsid w:val="0084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CCDA-854D-4E8F-ADCE-9B22937D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Daniel-Benavides</dc:creator>
  <cp:lastModifiedBy>Maria Fernanda Velasco</cp:lastModifiedBy>
  <cp:revision>2</cp:revision>
  <dcterms:created xsi:type="dcterms:W3CDTF">2019-01-08T15:41:00Z</dcterms:created>
  <dcterms:modified xsi:type="dcterms:W3CDTF">2019-01-08T15:41:00Z</dcterms:modified>
</cp:coreProperties>
</file>