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web3"/>
        <w:tblW w:w="5202" w:type="pct"/>
        <w:jc w:val="center"/>
        <w:tblLayout w:type="fixed"/>
        <w:tblLook w:val="04A0" w:firstRow="1" w:lastRow="0" w:firstColumn="1" w:lastColumn="0" w:noHBand="0" w:noVBand="1"/>
      </w:tblPr>
      <w:tblGrid>
        <w:gridCol w:w="1324"/>
        <w:gridCol w:w="702"/>
        <w:gridCol w:w="1682"/>
        <w:gridCol w:w="3400"/>
        <w:gridCol w:w="2998"/>
      </w:tblGrid>
      <w:tr w:rsidR="003F0D14" w:rsidRPr="00BB3D89" w:rsidTr="00051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  <w:jc w:val="center"/>
        </w:trPr>
        <w:tc>
          <w:tcPr>
            <w:tcW w:w="4960" w:type="pct"/>
            <w:gridSpan w:val="5"/>
            <w:shd w:val="clear" w:color="auto" w:fill="365F91" w:themeFill="accent1" w:themeFillShade="BF"/>
            <w:noWrap/>
            <w:vAlign w:val="center"/>
            <w:hideMark/>
          </w:tcPr>
          <w:p w:rsidR="003F0D14" w:rsidRPr="00BB3D89" w:rsidRDefault="003F0D14" w:rsidP="00A94B65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  <w:r w:rsidRPr="00BB3D89"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0"/>
                <w:szCs w:val="20"/>
              </w:rPr>
              <w:t>FICHA METODOLÓGICA</w:t>
            </w:r>
          </w:p>
        </w:tc>
      </w:tr>
      <w:tr w:rsidR="003F0D14" w:rsidRPr="00BB3D89" w:rsidTr="00CB14FC">
        <w:trPr>
          <w:trHeight w:val="612"/>
          <w:jc w:val="center"/>
        </w:trPr>
        <w:tc>
          <w:tcPr>
            <w:tcW w:w="969" w:type="pct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95B3D7" w:themeFill="accent1" w:themeFillTint="99"/>
            <w:vAlign w:val="center"/>
            <w:hideMark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3972" w:type="pct"/>
            <w:gridSpan w:val="3"/>
            <w:vAlign w:val="center"/>
            <w:hideMark/>
          </w:tcPr>
          <w:p w:rsidR="003F0D14" w:rsidRPr="00922008" w:rsidRDefault="00994EC6" w:rsidP="00EB62CA">
            <w:pPr>
              <w:spacing w:before="100" w:beforeAutospacing="1" w:after="100" w:afterAutospacing="1"/>
              <w:jc w:val="both"/>
              <w:outlineLvl w:val="0"/>
              <w:rPr>
                <w:rFonts w:ascii="Helvetica" w:eastAsia="Times New Roman" w:hAnsi="Helvetica" w:cs="Helvetica"/>
                <w:b/>
                <w:bCs/>
                <w:kern w:val="36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b/>
                <w:bCs/>
                <w:kern w:val="36"/>
                <w:sz w:val="20"/>
                <w:szCs w:val="20"/>
                <w:lang w:eastAsia="es-ES"/>
              </w:rPr>
              <w:t>CALIFICACIÓN DE CARTERA</w:t>
            </w:r>
            <w:r w:rsidR="00E71334">
              <w:rPr>
                <w:rFonts w:ascii="Helvetica" w:eastAsia="Times New Roman" w:hAnsi="Helvetica" w:cs="Helvetica"/>
                <w:b/>
                <w:bCs/>
                <w:kern w:val="36"/>
                <w:sz w:val="20"/>
                <w:szCs w:val="20"/>
                <w:lang w:eastAsia="es-ES"/>
              </w:rPr>
              <w:t xml:space="preserve"> Y CONTINGENTES</w:t>
            </w:r>
          </w:p>
        </w:tc>
      </w:tr>
      <w:tr w:rsidR="003F0D14" w:rsidRPr="00BB3D89" w:rsidTr="00CB14FC">
        <w:trPr>
          <w:trHeight w:val="1629"/>
          <w:jc w:val="center"/>
        </w:trPr>
        <w:tc>
          <w:tcPr>
            <w:tcW w:w="969" w:type="pct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95B3D7" w:themeFill="accent1" w:themeFillTint="99"/>
            <w:vAlign w:val="center"/>
            <w:hideMark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DEFINICIÓN</w:t>
            </w:r>
          </w:p>
        </w:tc>
        <w:tc>
          <w:tcPr>
            <w:tcW w:w="3972" w:type="pct"/>
            <w:gridSpan w:val="3"/>
            <w:vAlign w:val="center"/>
            <w:hideMark/>
          </w:tcPr>
          <w:p w:rsidR="00EB62CA" w:rsidRPr="00EB62CA" w:rsidRDefault="00D34151" w:rsidP="00E71334">
            <w:pPr>
              <w:jc w:val="both"/>
              <w:rPr>
                <w:rFonts w:ascii="Helvetica" w:hAnsi="Helvetica" w:cs="Arial"/>
                <w:bCs/>
                <w:sz w:val="20"/>
                <w:szCs w:val="20"/>
                <w:lang w:val="es-ES"/>
              </w:rPr>
            </w:pPr>
            <w:r w:rsidRPr="00EB62CA">
              <w:rPr>
                <w:rFonts w:ascii="Helvetica" w:hAnsi="Helvetica" w:cs="Arial"/>
                <w:bCs/>
                <w:sz w:val="20"/>
                <w:szCs w:val="20"/>
                <w:lang w:val="es-ES"/>
              </w:rPr>
              <w:t xml:space="preserve">El indicador </w:t>
            </w:r>
            <w:r w:rsidR="00E71334">
              <w:rPr>
                <w:rFonts w:ascii="Helvetica" w:hAnsi="Helvetica" w:cs="Arial"/>
                <w:bCs/>
                <w:sz w:val="20"/>
                <w:szCs w:val="20"/>
                <w:lang w:val="es-ES"/>
              </w:rPr>
              <w:t xml:space="preserve">señala la calificación de los créditos y contingentes vigentes a la fecha de reporte </w:t>
            </w:r>
            <w:r>
              <w:rPr>
                <w:rFonts w:ascii="Helvetica" w:hAnsi="Helvetica" w:cs="Arial"/>
                <w:bCs/>
                <w:sz w:val="20"/>
                <w:szCs w:val="20"/>
                <w:lang w:val="es-ES"/>
              </w:rPr>
              <w:t xml:space="preserve">del sistema financiero bajo el control de la Superintendencia de Bancos. </w:t>
            </w:r>
            <w:r w:rsidRPr="00C900C1">
              <w:rPr>
                <w:rFonts w:ascii="Helvetica" w:hAnsi="Helvetica" w:cs="Arial"/>
                <w:bCs/>
                <w:sz w:val="20"/>
                <w:szCs w:val="20"/>
                <w:lang w:val="es-ES"/>
              </w:rPr>
              <w:t xml:space="preserve"> Este indicador está  alineado al objetivo de establecer un sistema económico, social, solidario y sostenible mediante una política de incrementar el acc</w:t>
            </w:r>
            <w:r>
              <w:rPr>
                <w:rFonts w:ascii="Helvetica" w:hAnsi="Helvetica" w:cs="Arial"/>
                <w:bCs/>
                <w:sz w:val="20"/>
                <w:szCs w:val="20"/>
                <w:lang w:val="es-ES"/>
              </w:rPr>
              <w:t>eso</w:t>
            </w:r>
            <w:r w:rsidR="008F5383">
              <w:rPr>
                <w:rFonts w:ascii="Helvetica" w:hAnsi="Helvetica" w:cs="Arial"/>
                <w:bCs/>
                <w:sz w:val="20"/>
                <w:szCs w:val="20"/>
                <w:lang w:val="es-ES"/>
              </w:rPr>
              <w:t xml:space="preserve"> de las personas</w:t>
            </w:r>
            <w:r>
              <w:rPr>
                <w:rFonts w:ascii="Helvetica" w:hAnsi="Helvetica" w:cs="Arial"/>
                <w:bCs/>
                <w:sz w:val="20"/>
                <w:szCs w:val="20"/>
                <w:lang w:val="es-ES"/>
              </w:rPr>
              <w:t xml:space="preserve"> al sistema financiero.</w:t>
            </w:r>
          </w:p>
        </w:tc>
      </w:tr>
      <w:tr w:rsidR="003F0D14" w:rsidRPr="00BB3D89" w:rsidTr="00457DE7">
        <w:trPr>
          <w:trHeight w:val="513"/>
          <w:jc w:val="center"/>
        </w:trPr>
        <w:tc>
          <w:tcPr>
            <w:tcW w:w="4960" w:type="pct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vAlign w:val="center"/>
            <w:hideMark/>
          </w:tcPr>
          <w:p w:rsidR="003F0D14" w:rsidRPr="00BB3D89" w:rsidRDefault="003F0D14" w:rsidP="00A94B65">
            <w:pPr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FÓRMULA DE CÁLCULO</w:t>
            </w:r>
          </w:p>
        </w:tc>
      </w:tr>
      <w:tr w:rsidR="003F0D14" w:rsidRPr="00BB3D89" w:rsidTr="00051DA1">
        <w:trPr>
          <w:trHeight w:val="513"/>
          <w:jc w:val="center"/>
        </w:trPr>
        <w:tc>
          <w:tcPr>
            <w:tcW w:w="4960" w:type="pct"/>
            <w:gridSpan w:val="5"/>
          </w:tcPr>
          <w:tbl>
            <w:tblPr>
              <w:tblStyle w:val="Tablaconcuadrcula"/>
              <w:tblW w:w="8136" w:type="dxa"/>
              <w:tblCellSpacing w:w="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7002"/>
            </w:tblGrid>
            <w:tr w:rsidR="00E16B68" w:rsidRPr="00EB62CA" w:rsidTr="00950CA4">
              <w:trPr>
                <w:trHeight w:val="334"/>
                <w:tblCellSpacing w:w="20" w:type="dxa"/>
              </w:trPr>
              <w:tc>
                <w:tcPr>
                  <w:tcW w:w="1074" w:type="dxa"/>
                </w:tcPr>
                <w:p w:rsidR="00E16B68" w:rsidRDefault="000B69F1" w:rsidP="000B69F1">
                  <w:pPr>
                    <w:spacing w:after="200" w:line="276" w:lineRule="auto"/>
                    <w:rPr>
                      <w:rFonts w:ascii="Helvetica" w:hAnsi="Helvetica" w:cs="Arial"/>
                      <w:bCs/>
                      <w:sz w:val="20"/>
                      <w:szCs w:val="20"/>
                      <w:highlight w:val="yellow"/>
                      <w:lang w:val="es-EC"/>
                    </w:rPr>
                  </w:pPr>
                  <w:r w:rsidRPr="000B69F1">
                    <w:rPr>
                      <w:rFonts w:ascii="Helvetica" w:hAnsi="Helvetica" w:cs="Arial"/>
                      <w:bCs/>
                      <w:sz w:val="20"/>
                      <w:szCs w:val="20"/>
                      <w:lang w:val="es-EC"/>
                    </w:rPr>
                    <w:t xml:space="preserve">No </w:t>
                  </w:r>
                  <w:r>
                    <w:rPr>
                      <w:rFonts w:ascii="Helvetica" w:hAnsi="Helvetica" w:cs="Arial"/>
                      <w:bCs/>
                      <w:sz w:val="20"/>
                      <w:szCs w:val="20"/>
                      <w:lang w:val="es-EC"/>
                    </w:rPr>
                    <w:t>aplica</w:t>
                  </w:r>
                </w:p>
              </w:tc>
              <w:tc>
                <w:tcPr>
                  <w:tcW w:w="6942" w:type="dxa"/>
                </w:tcPr>
                <w:p w:rsidR="00E16B68" w:rsidRDefault="00E16B68" w:rsidP="00737A17">
                  <w:pPr>
                    <w:tabs>
                      <w:tab w:val="left" w:pos="140"/>
                    </w:tabs>
                    <w:ind w:left="140"/>
                    <w:jc w:val="both"/>
                    <w:rPr>
                      <w:rFonts w:ascii="Helvetica" w:hAnsi="Helvetica" w:cs="Arial"/>
                      <w:bCs/>
                      <w:sz w:val="20"/>
                      <w:szCs w:val="20"/>
                      <w:highlight w:val="yellow"/>
                      <w:lang w:val="es-EC"/>
                    </w:rPr>
                  </w:pPr>
                </w:p>
              </w:tc>
            </w:tr>
          </w:tbl>
          <w:p w:rsidR="003F0D14" w:rsidRPr="00EB62CA" w:rsidRDefault="003F0D14" w:rsidP="00A94B65">
            <w:pPr>
              <w:jc w:val="both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val="es-ES"/>
              </w:rPr>
            </w:pPr>
          </w:p>
        </w:tc>
      </w:tr>
      <w:tr w:rsidR="003F0D14" w:rsidRPr="00BB3D89" w:rsidTr="00457DE7">
        <w:trPr>
          <w:trHeight w:val="513"/>
          <w:jc w:val="center"/>
        </w:trPr>
        <w:tc>
          <w:tcPr>
            <w:tcW w:w="4960" w:type="pct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95B3D7" w:themeFill="accent1" w:themeFillTint="99"/>
            <w:vAlign w:val="center"/>
            <w:hideMark/>
          </w:tcPr>
          <w:p w:rsidR="003F0D14" w:rsidRPr="00BB3D89" w:rsidRDefault="003F0D14" w:rsidP="00A94B65">
            <w:pPr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DEFINICIÓN DE LAS VARIABLES RELACIONADAS</w:t>
            </w:r>
          </w:p>
        </w:tc>
      </w:tr>
      <w:tr w:rsidR="003F0D14" w:rsidRPr="00BB3D89" w:rsidTr="00051DA1">
        <w:trPr>
          <w:trHeight w:val="513"/>
          <w:jc w:val="center"/>
        </w:trPr>
        <w:tc>
          <w:tcPr>
            <w:tcW w:w="4960" w:type="pct"/>
            <w:gridSpan w:val="5"/>
          </w:tcPr>
          <w:p w:rsidR="00D6643D" w:rsidRDefault="00951F81" w:rsidP="00910E47">
            <w:pPr>
              <w:jc w:val="both"/>
              <w:rPr>
                <w:rFonts w:ascii="Helvetica" w:hAnsi="Helvetica" w:cs="Arial"/>
                <w:bCs/>
                <w:sz w:val="20"/>
                <w:szCs w:val="20"/>
              </w:rPr>
            </w:pPr>
            <w:r>
              <w:rPr>
                <w:rFonts w:ascii="Helvetica" w:hAnsi="Helvetica" w:cs="Arial"/>
                <w:bCs/>
                <w:sz w:val="20"/>
                <w:szCs w:val="20"/>
              </w:rPr>
              <w:t>Tipo de entidad: Clasificación por bancos privados, bancos públicos y sociedades financieras.</w:t>
            </w:r>
          </w:p>
          <w:p w:rsidR="000B69F1" w:rsidRDefault="000B69F1" w:rsidP="00910E47">
            <w:pPr>
              <w:jc w:val="both"/>
              <w:rPr>
                <w:rFonts w:ascii="Helvetica" w:hAnsi="Helvetica" w:cs="Arial"/>
                <w:bCs/>
                <w:sz w:val="20"/>
                <w:szCs w:val="20"/>
              </w:rPr>
            </w:pPr>
            <w:r>
              <w:rPr>
                <w:rFonts w:ascii="Helvetica" w:hAnsi="Helvetica" w:cs="Arial"/>
                <w:bCs/>
                <w:sz w:val="20"/>
                <w:szCs w:val="20"/>
              </w:rPr>
              <w:t>Entidad: Clasificación por cada una de las entidades financieras que han concedido operaciones de crédito.</w:t>
            </w:r>
          </w:p>
          <w:p w:rsidR="00951F81" w:rsidRDefault="00951F81" w:rsidP="00910E47">
            <w:pPr>
              <w:jc w:val="both"/>
              <w:rPr>
                <w:rFonts w:ascii="Helvetica" w:hAnsi="Helvetica" w:cs="Arial"/>
                <w:bCs/>
                <w:sz w:val="20"/>
                <w:szCs w:val="20"/>
              </w:rPr>
            </w:pPr>
            <w:r>
              <w:rPr>
                <w:rFonts w:ascii="Helvetica" w:hAnsi="Helvetica" w:cs="Arial"/>
                <w:bCs/>
                <w:sz w:val="20"/>
                <w:szCs w:val="20"/>
              </w:rPr>
              <w:t>Tipo de crédito: Clasificación por créditos comerciales, de consumo, inmobiliarios, microcréditos, vivienda de interés público y educativo.</w:t>
            </w:r>
          </w:p>
          <w:p w:rsidR="00951F81" w:rsidRDefault="00951F81" w:rsidP="00910E47">
            <w:pPr>
              <w:jc w:val="both"/>
              <w:rPr>
                <w:rFonts w:ascii="Helvetica" w:hAnsi="Helvetica" w:cs="Arial"/>
                <w:bCs/>
                <w:sz w:val="20"/>
                <w:szCs w:val="20"/>
              </w:rPr>
            </w:pPr>
            <w:r>
              <w:rPr>
                <w:rFonts w:ascii="Helvetica" w:hAnsi="Helvetica" w:cs="Arial"/>
                <w:bCs/>
                <w:sz w:val="20"/>
                <w:szCs w:val="20"/>
              </w:rPr>
              <w:t>Tipo de operación: Clasificación por operaciones de crédito y operaciones contingentes.</w:t>
            </w:r>
          </w:p>
          <w:p w:rsidR="00951F81" w:rsidRDefault="00E71334" w:rsidP="00910E47">
            <w:pPr>
              <w:jc w:val="both"/>
              <w:rPr>
                <w:rFonts w:ascii="Helvetica" w:hAnsi="Helvetica" w:cs="Arial"/>
                <w:bCs/>
                <w:sz w:val="20"/>
                <w:szCs w:val="20"/>
              </w:rPr>
            </w:pPr>
            <w:r>
              <w:rPr>
                <w:rFonts w:ascii="Helvetica" w:hAnsi="Helvetica" w:cs="Arial"/>
                <w:bCs/>
                <w:sz w:val="20"/>
                <w:szCs w:val="20"/>
              </w:rPr>
              <w:t>Calificación</w:t>
            </w:r>
            <w:r w:rsidR="00951F81">
              <w:rPr>
                <w:rFonts w:ascii="Helvetica" w:hAnsi="Helvetica" w:cs="Arial"/>
                <w:bCs/>
                <w:sz w:val="20"/>
                <w:szCs w:val="20"/>
              </w:rPr>
              <w:t xml:space="preserve">: Clasificación </w:t>
            </w:r>
            <w:r>
              <w:rPr>
                <w:rFonts w:ascii="Helvetica" w:hAnsi="Helvetica" w:cs="Arial"/>
                <w:bCs/>
                <w:sz w:val="20"/>
                <w:szCs w:val="20"/>
              </w:rPr>
              <w:t>de las</w:t>
            </w:r>
            <w:r w:rsidR="00951F81">
              <w:rPr>
                <w:rFonts w:ascii="Helvetica" w:hAnsi="Helvetica" w:cs="Arial"/>
                <w:bCs/>
                <w:sz w:val="20"/>
                <w:szCs w:val="20"/>
              </w:rPr>
              <w:t xml:space="preserve"> operaciones</w:t>
            </w:r>
            <w:r>
              <w:rPr>
                <w:rFonts w:ascii="Helvetica" w:hAnsi="Helvetica" w:cs="Arial"/>
                <w:bCs/>
                <w:sz w:val="20"/>
                <w:szCs w:val="20"/>
              </w:rPr>
              <w:t xml:space="preserve"> en base a la calificación obtenida considerando su morosidad</w:t>
            </w:r>
            <w:r w:rsidR="00951F81">
              <w:rPr>
                <w:rFonts w:ascii="Helvetica" w:hAnsi="Helvetica" w:cs="Arial"/>
                <w:bCs/>
                <w:sz w:val="20"/>
                <w:szCs w:val="20"/>
              </w:rPr>
              <w:t>.</w:t>
            </w:r>
          </w:p>
          <w:p w:rsidR="008F5383" w:rsidRPr="00D6643D" w:rsidRDefault="00E71334" w:rsidP="005B660C">
            <w:pPr>
              <w:jc w:val="both"/>
              <w:rPr>
                <w:rFonts w:ascii="Helvetica" w:hAnsi="Helvetica" w:cs="Arial"/>
                <w:bCs/>
                <w:sz w:val="20"/>
                <w:szCs w:val="20"/>
              </w:rPr>
            </w:pPr>
            <w:r>
              <w:rPr>
                <w:rFonts w:ascii="Helvetica" w:hAnsi="Helvetica" w:cs="Arial"/>
                <w:bCs/>
                <w:sz w:val="20"/>
                <w:szCs w:val="20"/>
              </w:rPr>
              <w:t>Saldo</w:t>
            </w:r>
            <w:r w:rsidR="008F5383">
              <w:rPr>
                <w:rFonts w:ascii="Helvetica" w:hAnsi="Helvetica" w:cs="Arial"/>
                <w:bCs/>
                <w:sz w:val="20"/>
                <w:szCs w:val="20"/>
              </w:rPr>
              <w:t xml:space="preserve">: </w:t>
            </w:r>
            <w:r w:rsidR="005B660C">
              <w:rPr>
                <w:rFonts w:ascii="Helvetica" w:hAnsi="Helvetica" w:cs="Arial"/>
                <w:bCs/>
                <w:sz w:val="20"/>
                <w:szCs w:val="20"/>
              </w:rPr>
              <w:t>Es el valor de los créditos vigentes a una fecha de corte determinada.</w:t>
            </w:r>
          </w:p>
        </w:tc>
      </w:tr>
      <w:tr w:rsidR="003F0D14" w:rsidRPr="00BB3D89" w:rsidTr="00457DE7">
        <w:trPr>
          <w:trHeight w:val="513"/>
          <w:jc w:val="center"/>
        </w:trPr>
        <w:tc>
          <w:tcPr>
            <w:tcW w:w="4960" w:type="pct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95B3D7" w:themeFill="accent1" w:themeFillTint="99"/>
            <w:vAlign w:val="center"/>
            <w:hideMark/>
          </w:tcPr>
          <w:p w:rsidR="003F0D14" w:rsidRPr="00BB3D89" w:rsidRDefault="003F0D14" w:rsidP="00A94B65">
            <w:pPr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METODOLOGÍA DE CÁLCULO</w:t>
            </w:r>
          </w:p>
        </w:tc>
      </w:tr>
      <w:tr w:rsidR="003F0D14" w:rsidRPr="00BB3D89" w:rsidTr="00AF4013">
        <w:trPr>
          <w:trHeight w:val="513"/>
          <w:jc w:val="center"/>
        </w:trPr>
        <w:tc>
          <w:tcPr>
            <w:tcW w:w="4960" w:type="pct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3F0D14" w:rsidRPr="006F112B" w:rsidRDefault="005B660C" w:rsidP="005B660C">
            <w:pPr>
              <w:jc w:val="both"/>
              <w:rPr>
                <w:rFonts w:ascii="Helvetica" w:eastAsia="Times New Roman" w:hAnsi="Helvetica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Helvetica" w:eastAsia="Times New Roman" w:hAnsi="Helvetica" w:cs="Arial"/>
                <w:color w:val="000000"/>
                <w:sz w:val="20"/>
                <w:szCs w:val="20"/>
                <w:lang w:val="es-ES" w:eastAsia="es-ES"/>
              </w:rPr>
              <w:t>El reporte de calificación de cartera y contingentes se obtiene de la sumatoria de los saldos de los créditos de la cartera de crédito y contingentes que tienen las entidades financieras bajo el control de la Superintendencia de Bancos. Estas sumatorias se van agregando de acuerdo al tipo de crédito, tipo de operación y calificación otorgada.</w:t>
            </w:r>
          </w:p>
        </w:tc>
      </w:tr>
      <w:tr w:rsidR="003F0D14" w:rsidRPr="00BB3D89" w:rsidTr="00CB14FC">
        <w:trPr>
          <w:trHeight w:val="677"/>
          <w:jc w:val="center"/>
        </w:trPr>
        <w:tc>
          <w:tcPr>
            <w:tcW w:w="1794" w:type="pct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95B3D7" w:themeFill="accent1" w:themeFillTint="99"/>
            <w:vAlign w:val="center"/>
            <w:hideMark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LIMITACIONES TÉCNICAS</w:t>
            </w:r>
          </w:p>
        </w:tc>
        <w:tc>
          <w:tcPr>
            <w:tcW w:w="3146" w:type="pct"/>
            <w:gridSpan w:val="2"/>
            <w:vAlign w:val="center"/>
          </w:tcPr>
          <w:p w:rsidR="003F0D14" w:rsidRPr="003C6173" w:rsidRDefault="00835D66" w:rsidP="00397741">
            <w:pPr>
              <w:jc w:val="both"/>
              <w:rPr>
                <w:rFonts w:ascii="Helvetica" w:eastAsia="Times New Roman" w:hAnsi="Helvetica" w:cs="Helvetica"/>
                <w:sz w:val="20"/>
                <w:szCs w:val="20"/>
                <w:lang w:val="es-ES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val="es-ES"/>
              </w:rPr>
              <w:t>Ninguna</w:t>
            </w:r>
          </w:p>
        </w:tc>
      </w:tr>
      <w:tr w:rsidR="003F0D14" w:rsidRPr="00BB3D89" w:rsidTr="00CB14FC">
        <w:trPr>
          <w:trHeight w:val="799"/>
          <w:jc w:val="center"/>
        </w:trPr>
        <w:tc>
          <w:tcPr>
            <w:tcW w:w="1794" w:type="pct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95B3D7" w:themeFill="accent1" w:themeFillTint="99"/>
            <w:vAlign w:val="center"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UNIDAD DE MEDIDA DE LAS VARIABLES</w:t>
            </w:r>
          </w:p>
        </w:tc>
        <w:tc>
          <w:tcPr>
            <w:tcW w:w="3146" w:type="pct"/>
            <w:gridSpan w:val="2"/>
            <w:vAlign w:val="center"/>
          </w:tcPr>
          <w:p w:rsidR="003F0D14" w:rsidRPr="003C6173" w:rsidRDefault="00835D66" w:rsidP="00A94B65">
            <w:pPr>
              <w:jc w:val="both"/>
              <w:rPr>
                <w:rFonts w:ascii="Helvetica" w:eastAsia="Times New Roman" w:hAnsi="Helvetica" w:cs="Helvetica"/>
                <w:sz w:val="20"/>
                <w:szCs w:val="20"/>
                <w:lang w:val="es-ES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val="es-ES"/>
              </w:rPr>
              <w:t>Dólares</w:t>
            </w:r>
          </w:p>
        </w:tc>
      </w:tr>
      <w:tr w:rsidR="003F0D14" w:rsidRPr="00BB3D89" w:rsidTr="00CB14FC">
        <w:trPr>
          <w:trHeight w:val="630"/>
          <w:jc w:val="center"/>
        </w:trPr>
        <w:tc>
          <w:tcPr>
            <w:tcW w:w="1794" w:type="pct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95B3D7" w:themeFill="accent1" w:themeFillTint="99"/>
            <w:vAlign w:val="center"/>
            <w:hideMark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INTERPRETACIÓN DEL INDICADOR</w:t>
            </w:r>
          </w:p>
        </w:tc>
        <w:tc>
          <w:tcPr>
            <w:tcW w:w="3146" w:type="pct"/>
            <w:gridSpan w:val="2"/>
            <w:vAlign w:val="center"/>
          </w:tcPr>
          <w:p w:rsidR="003F0D14" w:rsidRPr="003C6173" w:rsidRDefault="00835D66" w:rsidP="005B660C">
            <w:pPr>
              <w:pStyle w:val="NormalWeb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Permite conocer </w:t>
            </w:r>
            <w:r w:rsidR="005B660C">
              <w:rPr>
                <w:rFonts w:ascii="Helvetica" w:hAnsi="Helvetica" w:cs="Helvetica"/>
                <w:sz w:val="20"/>
                <w:szCs w:val="20"/>
              </w:rPr>
              <w:t>los saldos de la cartera y contingentes y su calificación de acuerdo a su comportamiento</w:t>
            </w:r>
            <w:r w:rsidR="008024EA">
              <w:rPr>
                <w:rFonts w:ascii="Helvetica" w:hAnsi="Helvetica" w:cs="Helvetica"/>
                <w:sz w:val="20"/>
                <w:szCs w:val="20"/>
              </w:rPr>
              <w:t>.</w:t>
            </w:r>
          </w:p>
        </w:tc>
      </w:tr>
      <w:tr w:rsidR="003F0D14" w:rsidRPr="00BB3D89" w:rsidTr="00CB14FC">
        <w:trPr>
          <w:trHeight w:val="627"/>
          <w:jc w:val="center"/>
        </w:trPr>
        <w:tc>
          <w:tcPr>
            <w:tcW w:w="1794" w:type="pct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95B3D7" w:themeFill="accent1" w:themeFillTint="99"/>
            <w:vAlign w:val="center"/>
            <w:hideMark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FUENTE DE DATOS</w:t>
            </w:r>
          </w:p>
        </w:tc>
        <w:tc>
          <w:tcPr>
            <w:tcW w:w="3146" w:type="pct"/>
            <w:gridSpan w:val="2"/>
            <w:vAlign w:val="center"/>
            <w:hideMark/>
          </w:tcPr>
          <w:p w:rsidR="003F0D14" w:rsidRPr="003C6173" w:rsidRDefault="008024EA" w:rsidP="00E16B68">
            <w:pPr>
              <w:jc w:val="both"/>
              <w:rPr>
                <w:rFonts w:ascii="Helvetica" w:eastAsia="Times New Roman" w:hAnsi="Helvetica" w:cs="Arial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Arial"/>
                <w:sz w:val="20"/>
                <w:szCs w:val="20"/>
                <w:lang w:eastAsia="es-ES"/>
              </w:rPr>
              <w:t>Estructuras integradas de datos remitidas por las entidades controladas por la Superintendencia de bancos</w:t>
            </w:r>
          </w:p>
        </w:tc>
      </w:tr>
      <w:tr w:rsidR="003F0D14" w:rsidRPr="00BB3D89" w:rsidTr="00CB14FC">
        <w:trPr>
          <w:trHeight w:val="741"/>
          <w:jc w:val="center"/>
        </w:trPr>
        <w:tc>
          <w:tcPr>
            <w:tcW w:w="1794" w:type="pct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95B3D7" w:themeFill="accent1" w:themeFillTint="99"/>
            <w:vAlign w:val="center"/>
            <w:hideMark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PERIODICIDAD DEL INDICADOR Y/O LAS VARIABLES</w:t>
            </w:r>
          </w:p>
        </w:tc>
        <w:tc>
          <w:tcPr>
            <w:tcW w:w="3146" w:type="pct"/>
            <w:gridSpan w:val="2"/>
            <w:vAlign w:val="center"/>
            <w:hideMark/>
          </w:tcPr>
          <w:p w:rsidR="003F0D14" w:rsidRPr="00BB3D89" w:rsidRDefault="008024EA" w:rsidP="00A94B65">
            <w:pPr>
              <w:jc w:val="both"/>
              <w:rPr>
                <w:rFonts w:ascii="Helvetica" w:eastAsia="Times New Roman" w:hAnsi="Helvetica" w:cs="Helvetica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Mensual</w:t>
            </w:r>
          </w:p>
        </w:tc>
      </w:tr>
      <w:tr w:rsidR="003F0D14" w:rsidRPr="00BB3D89" w:rsidTr="00CB14FC">
        <w:trPr>
          <w:trHeight w:val="513"/>
          <w:jc w:val="center"/>
        </w:trPr>
        <w:tc>
          <w:tcPr>
            <w:tcW w:w="1794" w:type="pct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95B3D7" w:themeFill="accent1" w:themeFillTint="99"/>
            <w:vAlign w:val="center"/>
            <w:hideMark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DISPONIBILIDAD DE LOS DATOS</w:t>
            </w:r>
            <w:r w:rsidR="00170370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 xml:space="preserve"> (SERIE DE DATOS DISPONIBLES)</w:t>
            </w:r>
          </w:p>
        </w:tc>
        <w:tc>
          <w:tcPr>
            <w:tcW w:w="3146" w:type="pct"/>
            <w:gridSpan w:val="2"/>
            <w:vAlign w:val="center"/>
            <w:hideMark/>
          </w:tcPr>
          <w:p w:rsidR="003F0D14" w:rsidRPr="00BB3D89" w:rsidRDefault="005B660C" w:rsidP="00A94B65">
            <w:pPr>
              <w:jc w:val="both"/>
              <w:rPr>
                <w:rFonts w:ascii="Helvetica" w:eastAsia="Times New Roman" w:hAnsi="Helvetica" w:cs="Helvetica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Agosto de 2012</w:t>
            </w:r>
            <w:r w:rsidR="008024EA">
              <w:rPr>
                <w:rFonts w:ascii="Helvetica" w:eastAsia="Times New Roman" w:hAnsi="Helvetica" w:cs="Helvetica"/>
                <w:sz w:val="20"/>
                <w:szCs w:val="20"/>
              </w:rPr>
              <w:t xml:space="preserve"> en adelante.</w:t>
            </w:r>
          </w:p>
        </w:tc>
      </w:tr>
      <w:tr w:rsidR="003F0D14" w:rsidRPr="00BB3D89" w:rsidTr="00CB14FC">
        <w:trPr>
          <w:trHeight w:val="611"/>
          <w:jc w:val="center"/>
        </w:trPr>
        <w:tc>
          <w:tcPr>
            <w:tcW w:w="636" w:type="pct"/>
            <w:vMerge w:val="restart"/>
            <w:tcBorders>
              <w:top w:val="outset" w:sz="6" w:space="0" w:color="auto"/>
              <w:bottom w:val="outset" w:sz="6" w:space="0" w:color="auto"/>
              <w:right w:val="nil"/>
            </w:tcBorders>
            <w:shd w:val="clear" w:color="auto" w:fill="95B3D7" w:themeFill="accent1" w:themeFillTint="99"/>
            <w:vAlign w:val="center"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NIVEL DE DESAGRE-GACIÓN</w:t>
            </w:r>
          </w:p>
        </w:tc>
        <w:tc>
          <w:tcPr>
            <w:tcW w:w="11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95B3D7" w:themeFill="accent1" w:themeFillTint="99"/>
            <w:vAlign w:val="center"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GEOGRÁFICO</w:t>
            </w:r>
          </w:p>
        </w:tc>
        <w:tc>
          <w:tcPr>
            <w:tcW w:w="3146" w:type="pct"/>
            <w:gridSpan w:val="2"/>
            <w:vAlign w:val="center"/>
          </w:tcPr>
          <w:p w:rsidR="003F0D14" w:rsidRPr="00BB3D89" w:rsidRDefault="005B660C" w:rsidP="00B259E4">
            <w:pPr>
              <w:jc w:val="both"/>
              <w:rPr>
                <w:rFonts w:ascii="Helvetica" w:eastAsia="Times New Roman" w:hAnsi="Helvetica" w:cs="Helvetica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Nacional</w:t>
            </w:r>
          </w:p>
        </w:tc>
      </w:tr>
      <w:tr w:rsidR="003F0D14" w:rsidRPr="00BB3D89" w:rsidTr="00CB14FC">
        <w:trPr>
          <w:trHeight w:val="513"/>
          <w:jc w:val="center"/>
        </w:trPr>
        <w:tc>
          <w:tcPr>
            <w:tcW w:w="636" w:type="pct"/>
            <w:vMerge/>
            <w:tcBorders>
              <w:right w:val="outset" w:sz="6" w:space="0" w:color="auto"/>
            </w:tcBorders>
            <w:shd w:val="clear" w:color="auto" w:fill="95B3D7" w:themeFill="accent1" w:themeFillTint="99"/>
            <w:vAlign w:val="center"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1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95B3D7" w:themeFill="accent1" w:themeFillTint="99"/>
            <w:vAlign w:val="center"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GENERAL</w:t>
            </w:r>
          </w:p>
        </w:tc>
        <w:tc>
          <w:tcPr>
            <w:tcW w:w="3146" w:type="pct"/>
            <w:gridSpan w:val="2"/>
            <w:vAlign w:val="center"/>
          </w:tcPr>
          <w:p w:rsidR="003F0D14" w:rsidRPr="00BB3D89" w:rsidRDefault="008024EA" w:rsidP="005B660C">
            <w:pPr>
              <w:jc w:val="both"/>
              <w:rPr>
                <w:rFonts w:ascii="Helvetica" w:eastAsia="Times New Roman" w:hAnsi="Helvetica" w:cs="Helvetica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Por tipo de entidad financiera, por entidad financiera, tipo</w:t>
            </w:r>
            <w:r w:rsidR="005B660C">
              <w:rPr>
                <w:rFonts w:ascii="Helvetica" w:eastAsia="Times New Roman" w:hAnsi="Helvetica" w:cs="Helvetica"/>
                <w:sz w:val="20"/>
                <w:szCs w:val="20"/>
              </w:rPr>
              <w:t xml:space="preserve"> de crédito, tipo de operación</w:t>
            </w:r>
            <w:r>
              <w:rPr>
                <w:rFonts w:ascii="Helvetica" w:eastAsia="Times New Roman" w:hAnsi="Helvetica" w:cs="Helvetica"/>
                <w:sz w:val="20"/>
                <w:szCs w:val="20"/>
              </w:rPr>
              <w:t>.</w:t>
            </w:r>
          </w:p>
        </w:tc>
      </w:tr>
      <w:tr w:rsidR="003F0D14" w:rsidRPr="00BB3D89" w:rsidTr="00CB14FC">
        <w:trPr>
          <w:trHeight w:val="513"/>
          <w:jc w:val="center"/>
        </w:trPr>
        <w:tc>
          <w:tcPr>
            <w:tcW w:w="636" w:type="pct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vAlign w:val="center"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1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95B3D7" w:themeFill="accent1" w:themeFillTint="99"/>
            <w:vAlign w:val="center"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OTROS ÁMBITOS</w:t>
            </w:r>
          </w:p>
        </w:tc>
        <w:tc>
          <w:tcPr>
            <w:tcW w:w="3146" w:type="pct"/>
            <w:gridSpan w:val="2"/>
            <w:vAlign w:val="center"/>
          </w:tcPr>
          <w:p w:rsidR="003F0D14" w:rsidRPr="00BB3D89" w:rsidRDefault="005B660C" w:rsidP="00A94B65">
            <w:pPr>
              <w:jc w:val="both"/>
              <w:rPr>
                <w:rFonts w:ascii="Helvetica" w:eastAsia="Times New Roman" w:hAnsi="Helvetica" w:cs="Helvetica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Calificación otorgada de acuerdo a la morosidad presentada</w:t>
            </w:r>
            <w:r w:rsidR="000B69F1">
              <w:rPr>
                <w:rFonts w:ascii="Helvetica" w:eastAsia="Times New Roman" w:hAnsi="Helvetica" w:cs="Helvetica"/>
                <w:sz w:val="20"/>
                <w:szCs w:val="20"/>
              </w:rPr>
              <w:t>.</w:t>
            </w:r>
          </w:p>
        </w:tc>
      </w:tr>
      <w:tr w:rsidR="003F0D14" w:rsidRPr="00BB3D89" w:rsidTr="00CB14FC">
        <w:trPr>
          <w:trHeight w:val="799"/>
          <w:jc w:val="center"/>
        </w:trPr>
        <w:tc>
          <w:tcPr>
            <w:tcW w:w="1794" w:type="pct"/>
            <w:gridSpan w:val="3"/>
            <w:tcBorders>
              <w:top w:val="outset" w:sz="6" w:space="0" w:color="auto"/>
              <w:bottom w:val="nil"/>
              <w:right w:val="outset" w:sz="2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lastRenderedPageBreak/>
              <w:t>INFORMACIÓN GEO– REFERENCIADA</w:t>
            </w:r>
          </w:p>
        </w:tc>
        <w:tc>
          <w:tcPr>
            <w:tcW w:w="3146" w:type="pct"/>
            <w:gridSpan w:val="2"/>
            <w:vAlign w:val="center"/>
            <w:hideMark/>
          </w:tcPr>
          <w:p w:rsidR="003F0D14" w:rsidRPr="00BB3D89" w:rsidRDefault="00710C91" w:rsidP="00A94B65">
            <w:pPr>
              <w:jc w:val="both"/>
              <w:rPr>
                <w:rFonts w:ascii="Helvetica" w:eastAsia="Times New Roman" w:hAnsi="Helvetica" w:cs="Helvetica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No</w:t>
            </w:r>
          </w:p>
        </w:tc>
      </w:tr>
      <w:tr w:rsidR="003F0D14" w:rsidRPr="00BB3D89" w:rsidTr="00CB14FC">
        <w:trPr>
          <w:trHeight w:val="386"/>
          <w:jc w:val="center"/>
        </w:trPr>
        <w:tc>
          <w:tcPr>
            <w:tcW w:w="1794" w:type="pct"/>
            <w:gridSpan w:val="3"/>
            <w:tcBorders>
              <w:top w:val="nil"/>
              <w:bottom w:val="nil"/>
              <w:right w:val="outset" w:sz="2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RELACIÓN CON INSTRUMENTOS DE PLANIFICACIÓN NACIONAL E INTERNACIONAL</w:t>
            </w:r>
          </w:p>
        </w:tc>
        <w:tc>
          <w:tcPr>
            <w:tcW w:w="3146" w:type="pct"/>
            <w:gridSpan w:val="2"/>
            <w:vAlign w:val="center"/>
            <w:hideMark/>
          </w:tcPr>
          <w:p w:rsidR="003F0D14" w:rsidRPr="008D19C9" w:rsidRDefault="003F0D14" w:rsidP="003C6173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s-ES"/>
              </w:rPr>
            </w:pPr>
          </w:p>
        </w:tc>
      </w:tr>
      <w:tr w:rsidR="003F0D14" w:rsidRPr="00BB3D89" w:rsidTr="00CB14FC">
        <w:trPr>
          <w:trHeight w:val="391"/>
          <w:jc w:val="center"/>
        </w:trPr>
        <w:tc>
          <w:tcPr>
            <w:tcW w:w="1794" w:type="pct"/>
            <w:gridSpan w:val="3"/>
            <w:tcBorders>
              <w:top w:val="nil"/>
              <w:bottom w:val="nil"/>
              <w:right w:val="outset" w:sz="24" w:space="0" w:color="auto"/>
            </w:tcBorders>
            <w:shd w:val="clear" w:color="auto" w:fill="95B3D7" w:themeFill="accent1" w:themeFillTint="99"/>
            <w:vAlign w:val="center"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REFERENCIAS BIBLIOGRÁFICAS DE LA CONSTRUCCIÓN DEL INDICADOR</w:t>
            </w:r>
          </w:p>
        </w:tc>
        <w:tc>
          <w:tcPr>
            <w:tcW w:w="3146" w:type="pct"/>
            <w:gridSpan w:val="2"/>
            <w:vAlign w:val="center"/>
          </w:tcPr>
          <w:p w:rsidR="00B736D0" w:rsidRPr="000C133F" w:rsidRDefault="00B736D0" w:rsidP="003C6173">
            <w:pPr>
              <w:jc w:val="both"/>
              <w:rPr>
                <w:rFonts w:ascii="Helvetica" w:eastAsia="Times New Roman" w:hAnsi="Helvetica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3F0D14" w:rsidRPr="00BB3D89" w:rsidTr="00CB14FC">
        <w:trPr>
          <w:trHeight w:val="799"/>
          <w:jc w:val="center"/>
        </w:trPr>
        <w:tc>
          <w:tcPr>
            <w:tcW w:w="1794" w:type="pct"/>
            <w:gridSpan w:val="3"/>
            <w:tcBorders>
              <w:top w:val="nil"/>
              <w:bottom w:val="outset" w:sz="6" w:space="0" w:color="auto"/>
              <w:right w:val="outset" w:sz="2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FECHA DE ELABORACIÓN DE LA FICHA METODOLÓGICA</w:t>
            </w:r>
          </w:p>
        </w:tc>
        <w:tc>
          <w:tcPr>
            <w:tcW w:w="3146" w:type="pct"/>
            <w:gridSpan w:val="2"/>
            <w:vAlign w:val="center"/>
            <w:hideMark/>
          </w:tcPr>
          <w:p w:rsidR="003F0D14" w:rsidRPr="00BB3D89" w:rsidRDefault="005B660C" w:rsidP="001F49D3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08/03/2018</w:t>
            </w:r>
          </w:p>
        </w:tc>
      </w:tr>
      <w:tr w:rsidR="003F0D14" w:rsidRPr="00BB3D89" w:rsidTr="00CB14FC">
        <w:trPr>
          <w:trHeight w:val="781"/>
          <w:jc w:val="center"/>
        </w:trPr>
        <w:tc>
          <w:tcPr>
            <w:tcW w:w="1794" w:type="pct"/>
            <w:gridSpan w:val="3"/>
            <w:tcBorders>
              <w:top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FECHA DE LA ÚLTIMA ACTUALIZACIÓN DE LA FICHA</w:t>
            </w:r>
          </w:p>
        </w:tc>
        <w:tc>
          <w:tcPr>
            <w:tcW w:w="3146" w:type="pct"/>
            <w:gridSpan w:val="2"/>
            <w:vAlign w:val="center"/>
            <w:hideMark/>
          </w:tcPr>
          <w:p w:rsidR="003F0D14" w:rsidRPr="00BB3D89" w:rsidRDefault="005B660C" w:rsidP="00A94B65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08/03/2018</w:t>
            </w:r>
          </w:p>
        </w:tc>
      </w:tr>
      <w:tr w:rsidR="00CB14FC" w:rsidRPr="00BB3D89" w:rsidTr="00CB14FC">
        <w:trPr>
          <w:trHeight w:val="617"/>
          <w:jc w:val="center"/>
        </w:trPr>
        <w:tc>
          <w:tcPr>
            <w:tcW w:w="1794" w:type="pct"/>
            <w:gridSpan w:val="3"/>
            <w:tcBorders>
              <w:top w:val="outset" w:sz="6" w:space="0" w:color="auto"/>
              <w:bottom w:val="nil"/>
              <w:right w:val="outset" w:sz="24" w:space="0" w:color="auto"/>
            </w:tcBorders>
            <w:shd w:val="clear" w:color="auto" w:fill="95B3D7" w:themeFill="accent1" w:themeFillTint="99"/>
            <w:vAlign w:val="center"/>
          </w:tcPr>
          <w:p w:rsidR="00CB14FC" w:rsidRPr="00BB3D89" w:rsidRDefault="00CB14FC" w:rsidP="00664D31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CLASIFICADOR TEMÁTICO ESTADÍSTICO</w:t>
            </w:r>
          </w:p>
        </w:tc>
        <w:tc>
          <w:tcPr>
            <w:tcW w:w="1689" w:type="pct"/>
            <w:tcBorders>
              <w:right w:val="outset" w:sz="6" w:space="0" w:color="auto"/>
            </w:tcBorders>
            <w:vAlign w:val="center"/>
          </w:tcPr>
          <w:p w:rsidR="00CB14FC" w:rsidRPr="00BB3D89" w:rsidRDefault="00CB14FC" w:rsidP="00664D3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Finanzas </w:t>
            </w:r>
          </w:p>
        </w:tc>
        <w:tc>
          <w:tcPr>
            <w:tcW w:w="1437" w:type="pct"/>
            <w:tcBorders>
              <w:left w:val="outset" w:sz="6" w:space="0" w:color="auto"/>
            </w:tcBorders>
            <w:vAlign w:val="center"/>
          </w:tcPr>
          <w:p w:rsidR="00CB14FC" w:rsidRPr="00BB3D89" w:rsidRDefault="00CB14FC" w:rsidP="00664D31">
            <w:pPr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</w:t>
            </w:r>
          </w:p>
        </w:tc>
      </w:tr>
      <w:tr w:rsidR="00CB14FC" w:rsidRPr="00BB3D89" w:rsidTr="00CB14FC">
        <w:trPr>
          <w:trHeight w:val="591"/>
          <w:jc w:val="center"/>
        </w:trPr>
        <w:tc>
          <w:tcPr>
            <w:tcW w:w="1794" w:type="pct"/>
            <w:gridSpan w:val="3"/>
            <w:tcBorders>
              <w:top w:val="nil"/>
              <w:bottom w:val="outset" w:sz="6" w:space="0" w:color="auto"/>
              <w:right w:val="outset" w:sz="24" w:space="0" w:color="auto"/>
            </w:tcBorders>
            <w:shd w:val="clear" w:color="auto" w:fill="95B3D7" w:themeFill="accent1" w:themeFillTint="99"/>
            <w:vAlign w:val="center"/>
          </w:tcPr>
          <w:p w:rsidR="00CB14FC" w:rsidRPr="00BB3D89" w:rsidRDefault="00CB14FC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ELABORADO POR</w:t>
            </w:r>
          </w:p>
        </w:tc>
        <w:tc>
          <w:tcPr>
            <w:tcW w:w="3146" w:type="pct"/>
            <w:gridSpan w:val="2"/>
            <w:vAlign w:val="center"/>
          </w:tcPr>
          <w:p w:rsidR="00CB14FC" w:rsidRPr="00BB3D89" w:rsidRDefault="00CB14FC" w:rsidP="00D13D6A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Superintendencia de Bancos/Subdirección de Inteligencia de Negocios y Administración de la Información.</w:t>
            </w:r>
          </w:p>
        </w:tc>
      </w:tr>
    </w:tbl>
    <w:p w:rsidR="003D0EAA" w:rsidRDefault="003D0EAA"/>
    <w:p w:rsidR="003F0D14" w:rsidRDefault="003F0D14"/>
    <w:sectPr w:rsidR="003F0D14" w:rsidSect="004C63A5">
      <w:pgSz w:w="11906" w:h="16838"/>
      <w:pgMar w:top="1134" w:right="1304" w:bottom="851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71F70"/>
    <w:multiLevelType w:val="hybridMultilevel"/>
    <w:tmpl w:val="73BA3DF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BB2A2F"/>
    <w:multiLevelType w:val="hybridMultilevel"/>
    <w:tmpl w:val="F1B43FF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14"/>
    <w:rsid w:val="00026227"/>
    <w:rsid w:val="00037BBF"/>
    <w:rsid w:val="00051DA1"/>
    <w:rsid w:val="00070C69"/>
    <w:rsid w:val="000A40DF"/>
    <w:rsid w:val="000B1171"/>
    <w:rsid w:val="000B69F1"/>
    <w:rsid w:val="000C133F"/>
    <w:rsid w:val="000C76C1"/>
    <w:rsid w:val="000F7F33"/>
    <w:rsid w:val="00102044"/>
    <w:rsid w:val="00125BE5"/>
    <w:rsid w:val="001516D0"/>
    <w:rsid w:val="00152A98"/>
    <w:rsid w:val="00166DAD"/>
    <w:rsid w:val="00170370"/>
    <w:rsid w:val="001719CC"/>
    <w:rsid w:val="001B2377"/>
    <w:rsid w:val="001B41D2"/>
    <w:rsid w:val="001C647D"/>
    <w:rsid w:val="001F4452"/>
    <w:rsid w:val="001F49D3"/>
    <w:rsid w:val="00210D95"/>
    <w:rsid w:val="00283338"/>
    <w:rsid w:val="002841BA"/>
    <w:rsid w:val="002B7F28"/>
    <w:rsid w:val="002D3141"/>
    <w:rsid w:val="002D37AE"/>
    <w:rsid w:val="003662F7"/>
    <w:rsid w:val="00376F0B"/>
    <w:rsid w:val="00394C5A"/>
    <w:rsid w:val="00395929"/>
    <w:rsid w:val="00397741"/>
    <w:rsid w:val="003A1D28"/>
    <w:rsid w:val="003C6173"/>
    <w:rsid w:val="003D0EAA"/>
    <w:rsid w:val="003D2ABD"/>
    <w:rsid w:val="003D3CC1"/>
    <w:rsid w:val="003F0D14"/>
    <w:rsid w:val="003F1164"/>
    <w:rsid w:val="003F73D5"/>
    <w:rsid w:val="00402C1A"/>
    <w:rsid w:val="004316E2"/>
    <w:rsid w:val="00457DE7"/>
    <w:rsid w:val="004C426B"/>
    <w:rsid w:val="004C63A5"/>
    <w:rsid w:val="004F74AA"/>
    <w:rsid w:val="00506C1D"/>
    <w:rsid w:val="00513383"/>
    <w:rsid w:val="00517E32"/>
    <w:rsid w:val="005244AC"/>
    <w:rsid w:val="0053019F"/>
    <w:rsid w:val="00585096"/>
    <w:rsid w:val="005B2BA0"/>
    <w:rsid w:val="005B660C"/>
    <w:rsid w:val="005C7AEA"/>
    <w:rsid w:val="005D32CF"/>
    <w:rsid w:val="005E0FCD"/>
    <w:rsid w:val="0061707F"/>
    <w:rsid w:val="0062276F"/>
    <w:rsid w:val="006700FE"/>
    <w:rsid w:val="00693BF0"/>
    <w:rsid w:val="006D53CF"/>
    <w:rsid w:val="006E6B0E"/>
    <w:rsid w:val="006F112B"/>
    <w:rsid w:val="00701521"/>
    <w:rsid w:val="007105E4"/>
    <w:rsid w:val="00710C91"/>
    <w:rsid w:val="00714FCB"/>
    <w:rsid w:val="00720623"/>
    <w:rsid w:val="00733A20"/>
    <w:rsid w:val="00737A17"/>
    <w:rsid w:val="0074271F"/>
    <w:rsid w:val="007477B8"/>
    <w:rsid w:val="00776EB3"/>
    <w:rsid w:val="00784D69"/>
    <w:rsid w:val="007D66FD"/>
    <w:rsid w:val="007F2E58"/>
    <w:rsid w:val="008024EA"/>
    <w:rsid w:val="00835D66"/>
    <w:rsid w:val="00846EEF"/>
    <w:rsid w:val="00856C80"/>
    <w:rsid w:val="00880B78"/>
    <w:rsid w:val="00895C43"/>
    <w:rsid w:val="008C30C2"/>
    <w:rsid w:val="008D19C9"/>
    <w:rsid w:val="008E656B"/>
    <w:rsid w:val="008F5383"/>
    <w:rsid w:val="00910E47"/>
    <w:rsid w:val="00922008"/>
    <w:rsid w:val="0093563C"/>
    <w:rsid w:val="00950CA4"/>
    <w:rsid w:val="00951F81"/>
    <w:rsid w:val="009832B5"/>
    <w:rsid w:val="00992594"/>
    <w:rsid w:val="00994EC6"/>
    <w:rsid w:val="009C0E85"/>
    <w:rsid w:val="00A50B9D"/>
    <w:rsid w:val="00AF4013"/>
    <w:rsid w:val="00B228B4"/>
    <w:rsid w:val="00B23922"/>
    <w:rsid w:val="00B259E4"/>
    <w:rsid w:val="00B25A38"/>
    <w:rsid w:val="00B30F63"/>
    <w:rsid w:val="00B34541"/>
    <w:rsid w:val="00B60235"/>
    <w:rsid w:val="00B736D0"/>
    <w:rsid w:val="00B906B4"/>
    <w:rsid w:val="00BA0140"/>
    <w:rsid w:val="00BA625A"/>
    <w:rsid w:val="00BD20C2"/>
    <w:rsid w:val="00C02976"/>
    <w:rsid w:val="00C064C4"/>
    <w:rsid w:val="00C17DAC"/>
    <w:rsid w:val="00C20200"/>
    <w:rsid w:val="00C2364C"/>
    <w:rsid w:val="00C43506"/>
    <w:rsid w:val="00C45F0E"/>
    <w:rsid w:val="00C900C1"/>
    <w:rsid w:val="00C94282"/>
    <w:rsid w:val="00CA1E16"/>
    <w:rsid w:val="00CB14FC"/>
    <w:rsid w:val="00CD1CFF"/>
    <w:rsid w:val="00CE371C"/>
    <w:rsid w:val="00D045DC"/>
    <w:rsid w:val="00D13D6A"/>
    <w:rsid w:val="00D34151"/>
    <w:rsid w:val="00D550DD"/>
    <w:rsid w:val="00D57CB2"/>
    <w:rsid w:val="00D6643D"/>
    <w:rsid w:val="00D758AE"/>
    <w:rsid w:val="00E16B68"/>
    <w:rsid w:val="00E37720"/>
    <w:rsid w:val="00E53F76"/>
    <w:rsid w:val="00E61B2C"/>
    <w:rsid w:val="00E71334"/>
    <w:rsid w:val="00E746A9"/>
    <w:rsid w:val="00EB62CA"/>
    <w:rsid w:val="00EC6474"/>
    <w:rsid w:val="00F2298C"/>
    <w:rsid w:val="00F50C4F"/>
    <w:rsid w:val="00F72C53"/>
    <w:rsid w:val="00FF3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D1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0D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F0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ko-KR"/>
    </w:rPr>
  </w:style>
  <w:style w:type="table" w:styleId="Tablaweb3">
    <w:name w:val="Table Web 3"/>
    <w:basedOn w:val="Tablanormal"/>
    <w:rsid w:val="003F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3F0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3F0D14"/>
    <w:pPr>
      <w:spacing w:before="100" w:beforeAutospacing="1" w:after="100" w:afterAutospacing="1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41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41BA"/>
    <w:rPr>
      <w:rFonts w:ascii="Tahoma" w:eastAsia="Batang" w:hAnsi="Tahoma" w:cs="Tahoma"/>
      <w:sz w:val="16"/>
      <w:szCs w:val="16"/>
      <w:lang w:eastAsia="ko-KR"/>
    </w:rPr>
  </w:style>
  <w:style w:type="paragraph" w:styleId="Prrafodelista">
    <w:name w:val="List Paragraph"/>
    <w:basedOn w:val="Normal"/>
    <w:uiPriority w:val="34"/>
    <w:qFormat/>
    <w:rsid w:val="008E656B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EB62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846EEF"/>
  </w:style>
  <w:style w:type="character" w:styleId="Hipervnculo">
    <w:name w:val="Hyperlink"/>
    <w:basedOn w:val="Fuentedeprrafopredeter"/>
    <w:uiPriority w:val="99"/>
    <w:semiHidden/>
    <w:unhideWhenUsed/>
    <w:rsid w:val="0084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D1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0D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F0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ko-KR"/>
    </w:rPr>
  </w:style>
  <w:style w:type="table" w:styleId="Tablaweb3">
    <w:name w:val="Table Web 3"/>
    <w:basedOn w:val="Tablanormal"/>
    <w:rsid w:val="003F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3F0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3F0D14"/>
    <w:pPr>
      <w:spacing w:before="100" w:beforeAutospacing="1" w:after="100" w:afterAutospacing="1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41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41BA"/>
    <w:rPr>
      <w:rFonts w:ascii="Tahoma" w:eastAsia="Batang" w:hAnsi="Tahoma" w:cs="Tahoma"/>
      <w:sz w:val="16"/>
      <w:szCs w:val="16"/>
      <w:lang w:eastAsia="ko-KR"/>
    </w:rPr>
  </w:style>
  <w:style w:type="paragraph" w:styleId="Prrafodelista">
    <w:name w:val="List Paragraph"/>
    <w:basedOn w:val="Normal"/>
    <w:uiPriority w:val="34"/>
    <w:qFormat/>
    <w:rsid w:val="008E656B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EB62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846EEF"/>
  </w:style>
  <w:style w:type="character" w:styleId="Hipervnculo">
    <w:name w:val="Hyperlink"/>
    <w:basedOn w:val="Fuentedeprrafopredeter"/>
    <w:uiPriority w:val="99"/>
    <w:semiHidden/>
    <w:unhideWhenUsed/>
    <w:rsid w:val="0084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5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5CCDA-854D-4E8F-ADCE-9B22937D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2259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Daniel-Benavides</dc:creator>
  <cp:lastModifiedBy>Maria Fernanda Velasco</cp:lastModifiedBy>
  <cp:revision>2</cp:revision>
  <dcterms:created xsi:type="dcterms:W3CDTF">2019-01-08T15:41:00Z</dcterms:created>
  <dcterms:modified xsi:type="dcterms:W3CDTF">2019-01-08T15:41:00Z</dcterms:modified>
</cp:coreProperties>
</file>