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web3"/>
        <w:tblW w:w="5202" w:type="pct"/>
        <w:jc w:val="center"/>
        <w:tblLayout w:type="fixed"/>
        <w:tblLook w:val="04A0" w:firstRow="1" w:lastRow="0" w:firstColumn="1" w:lastColumn="0" w:noHBand="0" w:noVBand="1"/>
      </w:tblPr>
      <w:tblGrid>
        <w:gridCol w:w="1346"/>
        <w:gridCol w:w="672"/>
        <w:gridCol w:w="1669"/>
        <w:gridCol w:w="3454"/>
        <w:gridCol w:w="2965"/>
      </w:tblGrid>
      <w:tr w:rsidR="003F0D14" w:rsidRPr="00BB3D89" w:rsidTr="00051D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1"/>
          <w:jc w:val="center"/>
        </w:trPr>
        <w:tc>
          <w:tcPr>
            <w:tcW w:w="4960" w:type="pct"/>
            <w:gridSpan w:val="5"/>
            <w:shd w:val="clear" w:color="auto" w:fill="365F91" w:themeFill="accent1" w:themeFillShade="BF"/>
            <w:noWrap/>
            <w:vAlign w:val="center"/>
            <w:hideMark/>
          </w:tcPr>
          <w:p w:rsidR="003F0D14" w:rsidRPr="00BB3D89" w:rsidRDefault="003F0D14" w:rsidP="00A94B65">
            <w:pPr>
              <w:jc w:val="center"/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0"/>
                <w:szCs w:val="20"/>
              </w:rPr>
            </w:pPr>
            <w:bookmarkStart w:id="0" w:name="_GoBack"/>
            <w:bookmarkEnd w:id="0"/>
            <w:r w:rsidRPr="00BB3D89">
              <w:rPr>
                <w:rFonts w:ascii="Helvetica" w:eastAsia="Times New Roman" w:hAnsi="Helvetica" w:cs="Helvetica"/>
                <w:b/>
                <w:bCs/>
                <w:color w:val="FFFFFF" w:themeColor="background1"/>
                <w:sz w:val="20"/>
                <w:szCs w:val="20"/>
              </w:rPr>
              <w:t>FICHA METODOLÓGICA</w:t>
            </w:r>
          </w:p>
        </w:tc>
      </w:tr>
      <w:tr w:rsidR="003F0D14" w:rsidRPr="00BB3D89" w:rsidTr="00467B80">
        <w:trPr>
          <w:trHeight w:val="612"/>
          <w:jc w:val="center"/>
        </w:trPr>
        <w:tc>
          <w:tcPr>
            <w:tcW w:w="965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NOMBRE DEL INDICADOR</w:t>
            </w:r>
          </w:p>
        </w:tc>
        <w:tc>
          <w:tcPr>
            <w:tcW w:w="3976" w:type="pct"/>
            <w:gridSpan w:val="3"/>
            <w:vAlign w:val="center"/>
            <w:hideMark/>
          </w:tcPr>
          <w:p w:rsidR="003F0D14" w:rsidRPr="00922008" w:rsidRDefault="00A13F7B" w:rsidP="00EB62CA">
            <w:pPr>
              <w:spacing w:before="100" w:beforeAutospacing="1" w:after="100" w:afterAutospacing="1"/>
              <w:jc w:val="both"/>
              <w:outlineLvl w:val="0"/>
              <w:rPr>
                <w:rFonts w:ascii="Helvetica" w:eastAsia="Times New Roman" w:hAnsi="Helvetica" w:cs="Helvetica"/>
                <w:b/>
                <w:bCs/>
                <w:kern w:val="36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Helvetica"/>
                <w:b/>
                <w:bCs/>
                <w:kern w:val="36"/>
                <w:sz w:val="20"/>
                <w:szCs w:val="20"/>
                <w:lang w:eastAsia="es-ES"/>
              </w:rPr>
              <w:t>COLOCACIONES</w:t>
            </w:r>
          </w:p>
        </w:tc>
      </w:tr>
      <w:tr w:rsidR="003F0D14" w:rsidRPr="00BB3D89" w:rsidTr="00467B80">
        <w:trPr>
          <w:trHeight w:val="1629"/>
          <w:jc w:val="center"/>
        </w:trPr>
        <w:tc>
          <w:tcPr>
            <w:tcW w:w="965" w:type="pct"/>
            <w:gridSpan w:val="2"/>
            <w:tcBorders>
              <w:top w:val="outset" w:sz="6" w:space="0" w:color="auto"/>
              <w:bottom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DEFINICIÓN</w:t>
            </w:r>
          </w:p>
        </w:tc>
        <w:tc>
          <w:tcPr>
            <w:tcW w:w="3976" w:type="pct"/>
            <w:gridSpan w:val="3"/>
            <w:vAlign w:val="center"/>
            <w:hideMark/>
          </w:tcPr>
          <w:p w:rsidR="00EB62CA" w:rsidRPr="00EB62CA" w:rsidRDefault="00D34151" w:rsidP="00E77AED">
            <w:pPr>
              <w:jc w:val="both"/>
              <w:rPr>
                <w:rFonts w:ascii="Helvetica" w:hAnsi="Helvetica" w:cs="Arial"/>
                <w:bCs/>
                <w:sz w:val="20"/>
                <w:szCs w:val="20"/>
                <w:lang w:val="es-ES"/>
              </w:rPr>
            </w:pPr>
            <w:r w:rsidRPr="00EB62CA"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El indicador </w:t>
            </w:r>
            <w:r w:rsidRPr="00C900C1"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mide el </w:t>
            </w:r>
            <w:r w:rsidR="00F11051"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saldo de </w:t>
            </w:r>
            <w:r w:rsidR="00E77AED"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las operaciones de crédito que han sido otorgadas por </w:t>
            </w:r>
            <w:r w:rsidR="00F11051"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>las entidades del</w:t>
            </w:r>
            <w:r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 sistema financiero bajo el control d</w:t>
            </w:r>
            <w:r w:rsidR="00F11051"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>e la Superintendencia de Bancos</w:t>
            </w:r>
            <w:r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. </w:t>
            </w:r>
            <w:r w:rsidRPr="00C900C1"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 Este indicador está  alineado al objetivo de establecer un sistema económico, social, solidario y sostenible mediante una política de incrementar el acc</w:t>
            </w:r>
            <w:r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>eso</w:t>
            </w:r>
            <w:r w:rsidR="008F5383"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 de las personas</w:t>
            </w:r>
            <w:r>
              <w:rPr>
                <w:rFonts w:ascii="Helvetica" w:hAnsi="Helvetica" w:cs="Arial"/>
                <w:bCs/>
                <w:sz w:val="20"/>
                <w:szCs w:val="20"/>
                <w:lang w:val="es-ES"/>
              </w:rPr>
              <w:t xml:space="preserve"> al sistema financiero.</w:t>
            </w:r>
          </w:p>
        </w:tc>
      </w:tr>
      <w:tr w:rsidR="003F0D14" w:rsidRPr="00BB3D89" w:rsidTr="00467B80">
        <w:trPr>
          <w:trHeight w:val="513"/>
          <w:jc w:val="center"/>
        </w:trPr>
        <w:tc>
          <w:tcPr>
            <w:tcW w:w="4960" w:type="pct"/>
            <w:gridSpan w:val="5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0D14" w:rsidRPr="00BB3D89" w:rsidRDefault="003F0D14" w:rsidP="00A94B65">
            <w:pPr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FÓRMULA DE CÁLCULO</w:t>
            </w:r>
          </w:p>
        </w:tc>
      </w:tr>
      <w:tr w:rsidR="003F0D14" w:rsidRPr="00BB3D89" w:rsidTr="00051DA1">
        <w:trPr>
          <w:trHeight w:val="513"/>
          <w:jc w:val="center"/>
        </w:trPr>
        <w:tc>
          <w:tcPr>
            <w:tcW w:w="4960" w:type="pct"/>
            <w:gridSpan w:val="5"/>
          </w:tcPr>
          <w:tbl>
            <w:tblPr>
              <w:tblStyle w:val="Tablaconcuadrcula"/>
              <w:tblW w:w="8136" w:type="dxa"/>
              <w:tblCellSpacing w:w="2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34"/>
              <w:gridCol w:w="7002"/>
            </w:tblGrid>
            <w:tr w:rsidR="00E16B68" w:rsidRPr="00EB62CA" w:rsidTr="00950CA4">
              <w:trPr>
                <w:trHeight w:val="334"/>
                <w:tblCellSpacing w:w="20" w:type="dxa"/>
              </w:trPr>
              <w:tc>
                <w:tcPr>
                  <w:tcW w:w="1074" w:type="dxa"/>
                </w:tcPr>
                <w:p w:rsidR="00E16B68" w:rsidRDefault="000B69F1" w:rsidP="000B69F1">
                  <w:pPr>
                    <w:spacing w:after="200" w:line="276" w:lineRule="auto"/>
                    <w:rPr>
                      <w:rFonts w:ascii="Helvetica" w:hAnsi="Helvetica" w:cs="Arial"/>
                      <w:bCs/>
                      <w:sz w:val="20"/>
                      <w:szCs w:val="20"/>
                      <w:highlight w:val="yellow"/>
                      <w:lang w:val="es-EC"/>
                    </w:rPr>
                  </w:pPr>
                  <w:r w:rsidRPr="000B69F1">
                    <w:rPr>
                      <w:rFonts w:ascii="Helvetica" w:hAnsi="Helvetica" w:cs="Arial"/>
                      <w:bCs/>
                      <w:sz w:val="20"/>
                      <w:szCs w:val="20"/>
                      <w:lang w:val="es-EC"/>
                    </w:rPr>
                    <w:t xml:space="preserve">No </w:t>
                  </w:r>
                  <w:r>
                    <w:rPr>
                      <w:rFonts w:ascii="Helvetica" w:hAnsi="Helvetica" w:cs="Arial"/>
                      <w:bCs/>
                      <w:sz w:val="20"/>
                      <w:szCs w:val="20"/>
                      <w:lang w:val="es-EC"/>
                    </w:rPr>
                    <w:t>aplica</w:t>
                  </w:r>
                </w:p>
              </w:tc>
              <w:tc>
                <w:tcPr>
                  <w:tcW w:w="6942" w:type="dxa"/>
                </w:tcPr>
                <w:p w:rsidR="00E16B68" w:rsidRDefault="00E16B68" w:rsidP="00737A17">
                  <w:pPr>
                    <w:tabs>
                      <w:tab w:val="left" w:pos="140"/>
                    </w:tabs>
                    <w:ind w:left="140"/>
                    <w:jc w:val="both"/>
                    <w:rPr>
                      <w:rFonts w:ascii="Helvetica" w:hAnsi="Helvetica" w:cs="Arial"/>
                      <w:bCs/>
                      <w:sz w:val="20"/>
                      <w:szCs w:val="20"/>
                      <w:highlight w:val="yellow"/>
                      <w:lang w:val="es-EC"/>
                    </w:rPr>
                  </w:pPr>
                </w:p>
              </w:tc>
            </w:tr>
          </w:tbl>
          <w:p w:rsidR="003F0D14" w:rsidRPr="00EB62CA" w:rsidRDefault="003F0D14" w:rsidP="00A94B65">
            <w:pPr>
              <w:jc w:val="both"/>
              <w:rPr>
                <w:rFonts w:ascii="Helvetica" w:eastAsia="Times New Roman" w:hAnsi="Helvetica" w:cs="Helvetica"/>
                <w:b/>
                <w:bCs/>
                <w:sz w:val="20"/>
                <w:szCs w:val="20"/>
                <w:lang w:val="es-ES"/>
              </w:rPr>
            </w:pPr>
          </w:p>
        </w:tc>
      </w:tr>
      <w:tr w:rsidR="003F0D14" w:rsidRPr="00BB3D89" w:rsidTr="00467B80">
        <w:trPr>
          <w:trHeight w:val="513"/>
          <w:jc w:val="center"/>
        </w:trPr>
        <w:tc>
          <w:tcPr>
            <w:tcW w:w="4960" w:type="pct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0D14" w:rsidRPr="00BB3D89" w:rsidRDefault="003F0D14" w:rsidP="00A94B65">
            <w:pPr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DEFINICIÓN DE LAS VARIABLES RELACIONADAS</w:t>
            </w:r>
          </w:p>
        </w:tc>
      </w:tr>
      <w:tr w:rsidR="003F0D14" w:rsidRPr="00BB3D89" w:rsidTr="00051DA1">
        <w:trPr>
          <w:trHeight w:val="513"/>
          <w:jc w:val="center"/>
        </w:trPr>
        <w:tc>
          <w:tcPr>
            <w:tcW w:w="4960" w:type="pct"/>
            <w:gridSpan w:val="5"/>
          </w:tcPr>
          <w:p w:rsidR="00D6643D" w:rsidRDefault="00951F81" w:rsidP="00910E47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Tipo de entidad: Clasificación por bancos privados, bancos públicos y sociedades financieras.</w:t>
            </w:r>
          </w:p>
          <w:p w:rsidR="000B69F1" w:rsidRDefault="000B69F1" w:rsidP="00910E47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Entidad: Clasificación por cada una de las entidades financieras que han concedido operaciones de crédito.</w:t>
            </w:r>
          </w:p>
          <w:p w:rsidR="004A354B" w:rsidRDefault="006A1E0D" w:rsidP="00910E47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Tipo de crédito: Clasificación por créditos comerciales, de consumo, inmobiliarios, microcréditos, vivienda de interés público y educativo</w:t>
            </w:r>
            <w:r w:rsidR="00951F81">
              <w:rPr>
                <w:rFonts w:ascii="Helvetica" w:hAnsi="Helvetica" w:cs="Arial"/>
                <w:bCs/>
                <w:sz w:val="20"/>
                <w:szCs w:val="20"/>
              </w:rPr>
              <w:t>.</w:t>
            </w:r>
          </w:p>
          <w:p w:rsidR="006A1E0D" w:rsidRDefault="006A1E0D" w:rsidP="00910E47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Tipo de cartera: Es el estado que tiene la cartera y se lo clasifica en cartera por vencer, cartera que no devenga intereses y cartera vencida.</w:t>
            </w:r>
          </w:p>
          <w:p w:rsidR="00951F81" w:rsidRDefault="004A354B" w:rsidP="00910E47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Origen geográfico</w:t>
            </w:r>
            <w:r w:rsidR="008F5383">
              <w:rPr>
                <w:rFonts w:ascii="Helvetica" w:hAnsi="Helvetica" w:cs="Arial"/>
                <w:bCs/>
                <w:sz w:val="20"/>
                <w:szCs w:val="20"/>
              </w:rPr>
              <w:t xml:space="preserve">: Distribución de las </w:t>
            </w:r>
            <w:r w:rsidR="0086595A">
              <w:rPr>
                <w:rFonts w:ascii="Helvetica" w:hAnsi="Helvetica" w:cs="Arial"/>
                <w:bCs/>
                <w:sz w:val="20"/>
                <w:szCs w:val="20"/>
              </w:rPr>
              <w:t>captaciones</w:t>
            </w:r>
            <w:r w:rsidR="008F5383">
              <w:rPr>
                <w:rFonts w:ascii="Helvetica" w:hAnsi="Helvetica" w:cs="Arial"/>
                <w:bCs/>
                <w:sz w:val="20"/>
                <w:szCs w:val="20"/>
              </w:rPr>
              <w:t xml:space="preserve"> por</w:t>
            </w:r>
            <w:r>
              <w:rPr>
                <w:rFonts w:ascii="Helvetica" w:hAnsi="Helvetica" w:cs="Arial"/>
                <w:bCs/>
                <w:sz w:val="20"/>
                <w:szCs w:val="20"/>
              </w:rPr>
              <w:t xml:space="preserve"> región,</w:t>
            </w:r>
            <w:r w:rsidR="008F5383">
              <w:rPr>
                <w:rFonts w:ascii="Helvetica" w:hAnsi="Helvetica" w:cs="Arial"/>
                <w:bCs/>
                <w:sz w:val="20"/>
                <w:szCs w:val="20"/>
              </w:rPr>
              <w:t xml:space="preserve"> provincia y cantón </w:t>
            </w:r>
            <w:r>
              <w:rPr>
                <w:rFonts w:ascii="Helvetica" w:hAnsi="Helvetica" w:cs="Arial"/>
                <w:bCs/>
                <w:sz w:val="20"/>
                <w:szCs w:val="20"/>
              </w:rPr>
              <w:t>donde</w:t>
            </w:r>
            <w:r w:rsidR="0086595A">
              <w:rPr>
                <w:rFonts w:ascii="Helvetica" w:hAnsi="Helvetica" w:cs="Arial"/>
                <w:bCs/>
                <w:sz w:val="20"/>
                <w:szCs w:val="20"/>
              </w:rPr>
              <w:t xml:space="preserve"> se encuentra la oficina de la entidad financiera donde se </w:t>
            </w:r>
            <w:r w:rsidR="006A1E0D">
              <w:rPr>
                <w:rFonts w:ascii="Helvetica" w:hAnsi="Helvetica" w:cs="Arial"/>
                <w:bCs/>
                <w:sz w:val="20"/>
                <w:szCs w:val="20"/>
              </w:rPr>
              <w:t>otorgó la operación de crédito</w:t>
            </w:r>
            <w:r w:rsidR="008F5383">
              <w:rPr>
                <w:rFonts w:ascii="Helvetica" w:hAnsi="Helvetica" w:cs="Arial"/>
                <w:bCs/>
                <w:sz w:val="20"/>
                <w:szCs w:val="20"/>
              </w:rPr>
              <w:t>.</w:t>
            </w:r>
          </w:p>
          <w:p w:rsidR="000B4277" w:rsidRDefault="000B4277" w:rsidP="000B4277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 xml:space="preserve">Saldo: Es el valor de los </w:t>
            </w:r>
            <w:r w:rsidR="007C6689">
              <w:rPr>
                <w:rFonts w:ascii="Helvetica" w:hAnsi="Helvetica" w:cs="Arial"/>
                <w:bCs/>
                <w:sz w:val="20"/>
                <w:szCs w:val="20"/>
              </w:rPr>
              <w:t>créditos vigentes</w:t>
            </w:r>
            <w:r>
              <w:rPr>
                <w:rFonts w:ascii="Helvetica" w:hAnsi="Helvetica" w:cs="Arial"/>
                <w:bCs/>
                <w:sz w:val="20"/>
                <w:szCs w:val="20"/>
              </w:rPr>
              <w:t xml:space="preserve"> a una fecha de corte determinada.</w:t>
            </w:r>
          </w:p>
          <w:p w:rsidR="006A1E0D" w:rsidRPr="00D6643D" w:rsidRDefault="006A1E0D" w:rsidP="000B4277">
            <w:pPr>
              <w:jc w:val="both"/>
              <w:rPr>
                <w:rFonts w:ascii="Helvetica" w:hAnsi="Helvetica" w:cs="Arial"/>
                <w:bCs/>
                <w:sz w:val="20"/>
                <w:szCs w:val="20"/>
              </w:rPr>
            </w:pPr>
            <w:r>
              <w:rPr>
                <w:rFonts w:ascii="Helvetica" w:hAnsi="Helvetica" w:cs="Arial"/>
                <w:bCs/>
                <w:sz w:val="20"/>
                <w:szCs w:val="20"/>
              </w:rPr>
              <w:t>Morosidad: Es el índice que muestra el porcentaje de los créditos morosos que tiene la cartera de créditos.</w:t>
            </w:r>
          </w:p>
        </w:tc>
      </w:tr>
      <w:tr w:rsidR="003F0D14" w:rsidRPr="00BB3D89" w:rsidTr="00467B80">
        <w:trPr>
          <w:trHeight w:val="513"/>
          <w:jc w:val="center"/>
        </w:trPr>
        <w:tc>
          <w:tcPr>
            <w:tcW w:w="4960" w:type="pct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0D14" w:rsidRPr="00BB3D89" w:rsidRDefault="003F0D14" w:rsidP="00A94B65">
            <w:pPr>
              <w:jc w:val="center"/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METODOLOGÍA DE CÁLCULO</w:t>
            </w:r>
          </w:p>
        </w:tc>
      </w:tr>
      <w:tr w:rsidR="003F0D14" w:rsidRPr="00BB3D89" w:rsidTr="00AF4013">
        <w:trPr>
          <w:trHeight w:val="513"/>
          <w:jc w:val="center"/>
        </w:trPr>
        <w:tc>
          <w:tcPr>
            <w:tcW w:w="4960" w:type="pct"/>
            <w:gridSpan w:val="5"/>
            <w:tcBorders>
              <w:top w:val="outset" w:sz="6" w:space="0" w:color="auto"/>
              <w:bottom w:val="outset" w:sz="6" w:space="0" w:color="auto"/>
            </w:tcBorders>
            <w:shd w:val="clear" w:color="auto" w:fill="FFFFFF" w:themeFill="background1"/>
            <w:vAlign w:val="center"/>
          </w:tcPr>
          <w:p w:rsidR="003F0D14" w:rsidRPr="006F112B" w:rsidRDefault="000B4277" w:rsidP="006A1E0D">
            <w:pPr>
              <w:jc w:val="both"/>
              <w:rPr>
                <w:rFonts w:ascii="Helvetica" w:eastAsia="Times New Roman" w:hAnsi="Helvetica" w:cs="Arial"/>
                <w:color w:val="000000"/>
                <w:sz w:val="20"/>
                <w:szCs w:val="20"/>
                <w:lang w:val="es-ES" w:eastAsia="es-ES"/>
              </w:rPr>
            </w:pPr>
            <w:r>
              <w:rPr>
                <w:rFonts w:ascii="Helvetica" w:eastAsia="Times New Roman" w:hAnsi="Helvetica" w:cs="Arial"/>
                <w:color w:val="000000"/>
                <w:sz w:val="20"/>
                <w:szCs w:val="20"/>
                <w:lang w:val="es-ES" w:eastAsia="es-ES"/>
              </w:rPr>
              <w:t xml:space="preserve">El reporte de </w:t>
            </w:r>
            <w:r w:rsidR="006A1E0D">
              <w:rPr>
                <w:rFonts w:ascii="Helvetica" w:eastAsia="Times New Roman" w:hAnsi="Helvetica" w:cs="Arial"/>
                <w:color w:val="000000"/>
                <w:sz w:val="20"/>
                <w:szCs w:val="20"/>
                <w:lang w:val="es-ES" w:eastAsia="es-ES"/>
              </w:rPr>
              <w:t>colocaciones</w:t>
            </w:r>
            <w:r w:rsidR="00835D66">
              <w:rPr>
                <w:rFonts w:ascii="Helvetica" w:eastAsia="Times New Roman" w:hAnsi="Helvetica" w:cs="Arial"/>
                <w:color w:val="000000"/>
                <w:sz w:val="20"/>
                <w:szCs w:val="20"/>
                <w:lang w:val="es-ES" w:eastAsia="es-ES"/>
              </w:rPr>
              <w:t xml:space="preserve"> se obtiene de la sumatoria de los</w:t>
            </w:r>
            <w:r>
              <w:rPr>
                <w:rFonts w:ascii="Helvetica" w:eastAsia="Times New Roman" w:hAnsi="Helvetica" w:cs="Arial"/>
                <w:color w:val="000000"/>
                <w:sz w:val="20"/>
                <w:szCs w:val="20"/>
                <w:lang w:val="es-ES" w:eastAsia="es-ES"/>
              </w:rPr>
              <w:t xml:space="preserve"> saldos de los</w:t>
            </w:r>
            <w:r w:rsidR="00835D66">
              <w:rPr>
                <w:rFonts w:ascii="Helvetica" w:eastAsia="Times New Roman" w:hAnsi="Helvetica" w:cs="Arial"/>
                <w:color w:val="000000"/>
                <w:sz w:val="20"/>
                <w:szCs w:val="20"/>
                <w:lang w:val="es-ES" w:eastAsia="es-ES"/>
              </w:rPr>
              <w:t xml:space="preserve"> </w:t>
            </w:r>
            <w:r w:rsidR="006A1E0D">
              <w:rPr>
                <w:rFonts w:ascii="Helvetica" w:eastAsia="Times New Roman" w:hAnsi="Helvetica" w:cs="Arial"/>
                <w:color w:val="000000"/>
                <w:sz w:val="20"/>
                <w:szCs w:val="20"/>
                <w:lang w:val="es-ES" w:eastAsia="es-ES"/>
              </w:rPr>
              <w:t>créditos de la cartera de crédito que tienen</w:t>
            </w:r>
            <w:r>
              <w:rPr>
                <w:rFonts w:ascii="Helvetica" w:eastAsia="Times New Roman" w:hAnsi="Helvetica" w:cs="Arial"/>
                <w:color w:val="000000"/>
                <w:sz w:val="20"/>
                <w:szCs w:val="20"/>
                <w:lang w:val="es-ES" w:eastAsia="es-ES"/>
              </w:rPr>
              <w:t xml:space="preserve"> las entidades financieras bajo el control de la S</w:t>
            </w:r>
            <w:r w:rsidR="00732741">
              <w:rPr>
                <w:rFonts w:ascii="Helvetica" w:eastAsia="Times New Roman" w:hAnsi="Helvetica" w:cs="Arial"/>
                <w:color w:val="000000"/>
                <w:sz w:val="20"/>
                <w:szCs w:val="20"/>
                <w:lang w:val="es-ES" w:eastAsia="es-ES"/>
              </w:rPr>
              <w:t>u</w:t>
            </w:r>
            <w:r>
              <w:rPr>
                <w:rFonts w:ascii="Helvetica" w:eastAsia="Times New Roman" w:hAnsi="Helvetica" w:cs="Arial"/>
                <w:color w:val="000000"/>
                <w:sz w:val="20"/>
                <w:szCs w:val="20"/>
                <w:lang w:val="es-ES" w:eastAsia="es-ES"/>
              </w:rPr>
              <w:t>perintendencia de Bancos.</w:t>
            </w:r>
            <w:r w:rsidR="00732741">
              <w:rPr>
                <w:rFonts w:ascii="Helvetica" w:eastAsia="Times New Roman" w:hAnsi="Helvetica" w:cs="Arial"/>
                <w:color w:val="000000"/>
                <w:sz w:val="20"/>
                <w:szCs w:val="20"/>
                <w:lang w:val="es-ES" w:eastAsia="es-ES"/>
              </w:rPr>
              <w:t xml:space="preserve"> Estas sumatorias se van agregando de acuerdo a su origen geográfico.</w:t>
            </w:r>
          </w:p>
        </w:tc>
      </w:tr>
      <w:tr w:rsidR="003F0D14" w:rsidRPr="00BB3D89" w:rsidTr="00467B80">
        <w:trPr>
          <w:trHeight w:val="677"/>
          <w:jc w:val="center"/>
        </w:trPr>
        <w:tc>
          <w:tcPr>
            <w:tcW w:w="1783" w:type="pct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LIMITACIONES TÉCNICAS</w:t>
            </w:r>
          </w:p>
        </w:tc>
        <w:tc>
          <w:tcPr>
            <w:tcW w:w="3158" w:type="pct"/>
            <w:gridSpan w:val="2"/>
            <w:vAlign w:val="center"/>
          </w:tcPr>
          <w:p w:rsidR="003F0D14" w:rsidRPr="003C6173" w:rsidRDefault="00835D66" w:rsidP="00397741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  <w:t>Ninguna</w:t>
            </w:r>
          </w:p>
        </w:tc>
      </w:tr>
      <w:tr w:rsidR="003F0D14" w:rsidRPr="00BB3D89" w:rsidTr="00467B80">
        <w:trPr>
          <w:trHeight w:val="799"/>
          <w:jc w:val="center"/>
        </w:trPr>
        <w:tc>
          <w:tcPr>
            <w:tcW w:w="1783" w:type="pct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B8CCE4" w:themeFill="accent1" w:themeFillTint="66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UNIDAD DE MEDIDA DE LAS VARIABLES</w:t>
            </w:r>
          </w:p>
        </w:tc>
        <w:tc>
          <w:tcPr>
            <w:tcW w:w="3158" w:type="pct"/>
            <w:gridSpan w:val="2"/>
            <w:vAlign w:val="center"/>
          </w:tcPr>
          <w:p w:rsidR="003F0D14" w:rsidRPr="003C6173" w:rsidRDefault="00835D66" w:rsidP="00A94B65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  <w:lang w:val="es-ES"/>
              </w:rPr>
              <w:t>Dólares</w:t>
            </w:r>
          </w:p>
        </w:tc>
      </w:tr>
      <w:tr w:rsidR="003F0D14" w:rsidRPr="00BB3D89" w:rsidTr="00467B80">
        <w:trPr>
          <w:trHeight w:val="630"/>
          <w:jc w:val="center"/>
        </w:trPr>
        <w:tc>
          <w:tcPr>
            <w:tcW w:w="1783" w:type="pct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INTERPRETACIÓN DEL INDICADOR</w:t>
            </w:r>
          </w:p>
        </w:tc>
        <w:tc>
          <w:tcPr>
            <w:tcW w:w="3158" w:type="pct"/>
            <w:gridSpan w:val="2"/>
            <w:vAlign w:val="center"/>
          </w:tcPr>
          <w:p w:rsidR="003F0D14" w:rsidRPr="003C6173" w:rsidRDefault="00835D66" w:rsidP="006A1E0D">
            <w:pPr>
              <w:pStyle w:val="NormalWeb"/>
              <w:jc w:val="both"/>
              <w:rPr>
                <w:rFonts w:ascii="Helvetica" w:hAnsi="Helvetica" w:cs="Helvetica"/>
                <w:sz w:val="20"/>
                <w:szCs w:val="20"/>
              </w:rPr>
            </w:pPr>
            <w:r>
              <w:rPr>
                <w:rFonts w:ascii="Helvetica" w:hAnsi="Helvetica" w:cs="Helvetica"/>
                <w:sz w:val="20"/>
                <w:szCs w:val="20"/>
              </w:rPr>
              <w:t xml:space="preserve">Permite conocer el </w:t>
            </w:r>
            <w:r w:rsidR="00732741">
              <w:rPr>
                <w:rFonts w:ascii="Helvetica" w:hAnsi="Helvetica" w:cs="Helvetica"/>
                <w:sz w:val="20"/>
                <w:szCs w:val="20"/>
              </w:rPr>
              <w:t xml:space="preserve">saldo de los </w:t>
            </w:r>
            <w:r w:rsidR="006A1E0D">
              <w:rPr>
                <w:rFonts w:ascii="Helvetica" w:hAnsi="Helvetica" w:cs="Helvetica"/>
                <w:sz w:val="20"/>
                <w:szCs w:val="20"/>
              </w:rPr>
              <w:t xml:space="preserve">créditos </w:t>
            </w:r>
            <w:r w:rsidR="00D051E7">
              <w:rPr>
                <w:rFonts w:ascii="Helvetica" w:hAnsi="Helvetica" w:cs="Helvetica"/>
                <w:sz w:val="20"/>
                <w:szCs w:val="20"/>
              </w:rPr>
              <w:t>que mantienen</w:t>
            </w:r>
            <w:r w:rsidR="00732741">
              <w:rPr>
                <w:rFonts w:ascii="Helvetica" w:hAnsi="Helvetica" w:cs="Helvetica"/>
                <w:sz w:val="20"/>
                <w:szCs w:val="20"/>
              </w:rPr>
              <w:t xml:space="preserve"> las entidades financieras controladas</w:t>
            </w:r>
            <w:r w:rsidR="008024EA">
              <w:rPr>
                <w:rFonts w:ascii="Helvetica" w:hAnsi="Helvetica" w:cs="Helvetica"/>
                <w:sz w:val="20"/>
                <w:szCs w:val="20"/>
              </w:rPr>
              <w:t xml:space="preserve"> po</w:t>
            </w:r>
            <w:r w:rsidR="00D051E7">
              <w:rPr>
                <w:rFonts w:ascii="Helvetica" w:hAnsi="Helvetica" w:cs="Helvetica"/>
                <w:sz w:val="20"/>
                <w:szCs w:val="20"/>
              </w:rPr>
              <w:t>r la Superintendencia de Bancos distribuidos geográficamente.</w:t>
            </w:r>
          </w:p>
        </w:tc>
      </w:tr>
      <w:tr w:rsidR="003F0D14" w:rsidRPr="00BB3D89" w:rsidTr="00467B80">
        <w:trPr>
          <w:trHeight w:val="627"/>
          <w:jc w:val="center"/>
        </w:trPr>
        <w:tc>
          <w:tcPr>
            <w:tcW w:w="1783" w:type="pct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FUENTE DE DATOS</w:t>
            </w:r>
          </w:p>
        </w:tc>
        <w:tc>
          <w:tcPr>
            <w:tcW w:w="3158" w:type="pct"/>
            <w:gridSpan w:val="2"/>
            <w:vAlign w:val="center"/>
            <w:hideMark/>
          </w:tcPr>
          <w:p w:rsidR="003F0D14" w:rsidRPr="003C6173" w:rsidRDefault="008024EA" w:rsidP="00E16B68">
            <w:pPr>
              <w:jc w:val="both"/>
              <w:rPr>
                <w:rFonts w:ascii="Helvetica" w:eastAsia="Times New Roman" w:hAnsi="Helvetica" w:cs="Arial"/>
                <w:sz w:val="20"/>
                <w:szCs w:val="20"/>
                <w:lang w:eastAsia="es-ES"/>
              </w:rPr>
            </w:pPr>
            <w:r>
              <w:rPr>
                <w:rFonts w:ascii="Helvetica" w:eastAsia="Times New Roman" w:hAnsi="Helvetica" w:cs="Arial"/>
                <w:sz w:val="20"/>
                <w:szCs w:val="20"/>
                <w:lang w:eastAsia="es-ES"/>
              </w:rPr>
              <w:t>Estructuras integradas de datos remitidas por las entidades controladas por la Superintendencia de bancos</w:t>
            </w:r>
            <w:r w:rsidR="00D051E7">
              <w:rPr>
                <w:rFonts w:ascii="Helvetica" w:eastAsia="Times New Roman" w:hAnsi="Helvetica" w:cs="Arial"/>
                <w:sz w:val="20"/>
                <w:szCs w:val="20"/>
                <w:lang w:eastAsia="es-ES"/>
              </w:rPr>
              <w:t>.</w:t>
            </w:r>
          </w:p>
        </w:tc>
      </w:tr>
      <w:tr w:rsidR="003F0D14" w:rsidRPr="00BB3D89" w:rsidTr="00467B80">
        <w:trPr>
          <w:trHeight w:val="741"/>
          <w:jc w:val="center"/>
        </w:trPr>
        <w:tc>
          <w:tcPr>
            <w:tcW w:w="1783" w:type="pct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PERIODICIDAD DEL INDICADOR Y/O LAS VARIABLES</w:t>
            </w:r>
          </w:p>
        </w:tc>
        <w:tc>
          <w:tcPr>
            <w:tcW w:w="3158" w:type="pct"/>
            <w:gridSpan w:val="2"/>
            <w:vAlign w:val="center"/>
            <w:hideMark/>
          </w:tcPr>
          <w:p w:rsidR="003F0D14" w:rsidRPr="00BB3D89" w:rsidRDefault="008024EA" w:rsidP="00A94B65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Mensual</w:t>
            </w:r>
          </w:p>
        </w:tc>
      </w:tr>
      <w:tr w:rsidR="003F0D14" w:rsidRPr="00BB3D89" w:rsidTr="00467B80">
        <w:trPr>
          <w:trHeight w:val="513"/>
          <w:jc w:val="center"/>
        </w:trPr>
        <w:tc>
          <w:tcPr>
            <w:tcW w:w="1783" w:type="pct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DISPONIBILIDAD DE LOS DATOS</w:t>
            </w:r>
            <w:r w:rsidR="00170370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 xml:space="preserve"> (SERIE DE DATOS DISPONIBLES)</w:t>
            </w:r>
          </w:p>
        </w:tc>
        <w:tc>
          <w:tcPr>
            <w:tcW w:w="3158" w:type="pct"/>
            <w:gridSpan w:val="2"/>
            <w:vAlign w:val="center"/>
            <w:hideMark/>
          </w:tcPr>
          <w:p w:rsidR="003F0D14" w:rsidRPr="00BB3D89" w:rsidRDefault="000B77C0" w:rsidP="000B77C0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Junio</w:t>
            </w:r>
            <w:r w:rsidR="008024EA">
              <w:rPr>
                <w:rFonts w:ascii="Helvetica" w:eastAsia="Times New Roman" w:hAnsi="Helvetica" w:cs="Helvetica"/>
                <w:sz w:val="20"/>
                <w:szCs w:val="20"/>
              </w:rPr>
              <w:t xml:space="preserve"> de 200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>2</w:t>
            </w:r>
            <w:r w:rsidR="008024EA">
              <w:rPr>
                <w:rFonts w:ascii="Helvetica" w:eastAsia="Times New Roman" w:hAnsi="Helvetica" w:cs="Helvetica"/>
                <w:sz w:val="20"/>
                <w:szCs w:val="20"/>
              </w:rPr>
              <w:t xml:space="preserve"> en adelante.</w:t>
            </w:r>
          </w:p>
        </w:tc>
      </w:tr>
      <w:tr w:rsidR="003F0D14" w:rsidRPr="00BB3D89" w:rsidTr="00467B80">
        <w:trPr>
          <w:trHeight w:val="611"/>
          <w:jc w:val="center"/>
        </w:trPr>
        <w:tc>
          <w:tcPr>
            <w:tcW w:w="647" w:type="pct"/>
            <w:vMerge w:val="restart"/>
            <w:tcBorders>
              <w:top w:val="outset" w:sz="6" w:space="0" w:color="auto"/>
              <w:bottom w:val="outset" w:sz="6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NIVEL DE DESAGRE-GACIÓN</w:t>
            </w: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B8CCE4" w:themeFill="accent1" w:themeFillTint="66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GEOGRÁFICO</w:t>
            </w:r>
          </w:p>
        </w:tc>
        <w:tc>
          <w:tcPr>
            <w:tcW w:w="3158" w:type="pct"/>
            <w:gridSpan w:val="2"/>
            <w:vAlign w:val="center"/>
          </w:tcPr>
          <w:p w:rsidR="003F0D14" w:rsidRPr="00BB3D89" w:rsidRDefault="000B77C0" w:rsidP="000B77C0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Nacional, regional, p</w:t>
            </w:r>
            <w:r w:rsidR="008024EA">
              <w:rPr>
                <w:rFonts w:ascii="Helvetica" w:eastAsia="Times New Roman" w:hAnsi="Helvetica" w:cs="Helvetica"/>
                <w:sz w:val="20"/>
                <w:szCs w:val="20"/>
              </w:rPr>
              <w:t>rovincial y cantonal</w:t>
            </w:r>
          </w:p>
        </w:tc>
      </w:tr>
      <w:tr w:rsidR="003F0D14" w:rsidRPr="00BB3D89" w:rsidTr="00467B80">
        <w:trPr>
          <w:trHeight w:val="513"/>
          <w:jc w:val="center"/>
        </w:trPr>
        <w:tc>
          <w:tcPr>
            <w:tcW w:w="647" w:type="pct"/>
            <w:vMerge/>
            <w:tcBorders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GENERAL</w:t>
            </w:r>
          </w:p>
        </w:tc>
        <w:tc>
          <w:tcPr>
            <w:tcW w:w="3158" w:type="pct"/>
            <w:gridSpan w:val="2"/>
            <w:vAlign w:val="center"/>
          </w:tcPr>
          <w:p w:rsidR="003F0D14" w:rsidRPr="00BB3D89" w:rsidRDefault="008024EA" w:rsidP="00D051E7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Por tipo de entidad fin</w:t>
            </w:r>
            <w:r w:rsidR="00D051E7">
              <w:rPr>
                <w:rFonts w:ascii="Helvetica" w:eastAsia="Times New Roman" w:hAnsi="Helvetica" w:cs="Helvetica"/>
                <w:sz w:val="20"/>
                <w:szCs w:val="20"/>
              </w:rPr>
              <w:t>anciera, por entidad financiera</w:t>
            </w:r>
            <w:r>
              <w:rPr>
                <w:rFonts w:ascii="Helvetica" w:eastAsia="Times New Roman" w:hAnsi="Helvetica" w:cs="Helvetica"/>
                <w:sz w:val="20"/>
                <w:szCs w:val="20"/>
              </w:rPr>
              <w:t>.</w:t>
            </w:r>
          </w:p>
        </w:tc>
      </w:tr>
      <w:tr w:rsidR="003F0D14" w:rsidRPr="00BB3D89" w:rsidTr="00467B80">
        <w:trPr>
          <w:trHeight w:val="513"/>
          <w:jc w:val="center"/>
        </w:trPr>
        <w:tc>
          <w:tcPr>
            <w:tcW w:w="647" w:type="pct"/>
            <w:vMerge/>
            <w:tcBorders>
              <w:bottom w:val="outset" w:sz="6" w:space="0" w:color="auto"/>
              <w:right w:val="outset" w:sz="6" w:space="0" w:color="auto"/>
            </w:tcBorders>
            <w:shd w:val="clear" w:color="auto" w:fill="EAF1DD" w:themeFill="accent3" w:themeFillTint="33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</w:p>
        </w:tc>
        <w:tc>
          <w:tcPr>
            <w:tcW w:w="1116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shd w:val="clear" w:color="auto" w:fill="B8CCE4" w:themeFill="accent1" w:themeFillTint="66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OTROS ÁMBITOS</w:t>
            </w:r>
          </w:p>
        </w:tc>
        <w:tc>
          <w:tcPr>
            <w:tcW w:w="3158" w:type="pct"/>
            <w:gridSpan w:val="2"/>
            <w:vAlign w:val="center"/>
          </w:tcPr>
          <w:p w:rsidR="003F0D14" w:rsidRPr="00BB3D89" w:rsidRDefault="003F0D14" w:rsidP="00A94B65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</w:p>
        </w:tc>
      </w:tr>
      <w:tr w:rsidR="003F0D14" w:rsidRPr="00BB3D89" w:rsidTr="00467B80">
        <w:trPr>
          <w:trHeight w:val="799"/>
          <w:jc w:val="center"/>
        </w:trPr>
        <w:tc>
          <w:tcPr>
            <w:tcW w:w="1783" w:type="pct"/>
            <w:gridSpan w:val="3"/>
            <w:tcBorders>
              <w:top w:val="outset" w:sz="6" w:space="0" w:color="auto"/>
              <w:bottom w:val="nil"/>
              <w:right w:val="outset" w:sz="2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0D14" w:rsidRPr="00BB3D89" w:rsidRDefault="00467B80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INFORMACIÓN GEO–</w:t>
            </w:r>
            <w:r w:rsidR="003F0D14"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REFERENCIADA</w:t>
            </w:r>
          </w:p>
        </w:tc>
        <w:tc>
          <w:tcPr>
            <w:tcW w:w="3158" w:type="pct"/>
            <w:gridSpan w:val="2"/>
            <w:vAlign w:val="center"/>
            <w:hideMark/>
          </w:tcPr>
          <w:p w:rsidR="003F0D14" w:rsidRPr="00BB3D89" w:rsidRDefault="00710C91" w:rsidP="00A94B65">
            <w:pPr>
              <w:jc w:val="both"/>
              <w:rPr>
                <w:rFonts w:ascii="Helvetica" w:eastAsia="Times New Roman" w:hAnsi="Helvetica" w:cs="Helvetica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sz w:val="20"/>
                <w:szCs w:val="20"/>
              </w:rPr>
              <w:t>No</w:t>
            </w:r>
          </w:p>
        </w:tc>
      </w:tr>
      <w:tr w:rsidR="003F0D14" w:rsidRPr="00BB3D89" w:rsidTr="00467B80">
        <w:trPr>
          <w:trHeight w:val="386"/>
          <w:jc w:val="center"/>
        </w:trPr>
        <w:tc>
          <w:tcPr>
            <w:tcW w:w="1783" w:type="pct"/>
            <w:gridSpan w:val="3"/>
            <w:tcBorders>
              <w:top w:val="nil"/>
              <w:bottom w:val="nil"/>
              <w:right w:val="outset" w:sz="2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RELACIÓN CON INSTRUMENTOS DE PLANIFICACIÓN NACIONAL E INTERNACIONAL</w:t>
            </w:r>
          </w:p>
        </w:tc>
        <w:tc>
          <w:tcPr>
            <w:tcW w:w="3158" w:type="pct"/>
            <w:gridSpan w:val="2"/>
            <w:vAlign w:val="center"/>
            <w:hideMark/>
          </w:tcPr>
          <w:p w:rsidR="003F0D14" w:rsidRPr="008D19C9" w:rsidRDefault="003F0D14" w:rsidP="003C6173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val="es-ES"/>
              </w:rPr>
            </w:pPr>
          </w:p>
        </w:tc>
      </w:tr>
      <w:tr w:rsidR="003F0D14" w:rsidRPr="00BB3D89" w:rsidTr="00467B80">
        <w:trPr>
          <w:trHeight w:val="391"/>
          <w:jc w:val="center"/>
        </w:trPr>
        <w:tc>
          <w:tcPr>
            <w:tcW w:w="1783" w:type="pct"/>
            <w:gridSpan w:val="3"/>
            <w:tcBorders>
              <w:top w:val="nil"/>
              <w:bottom w:val="nil"/>
              <w:right w:val="outset" w:sz="24" w:space="0" w:color="auto"/>
            </w:tcBorders>
            <w:shd w:val="clear" w:color="auto" w:fill="B8CCE4" w:themeFill="accent1" w:themeFillTint="66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REFERENCIAS BIBLIOGRÁFICAS DE LA CONSTRUCCIÓN DEL INDICADOR</w:t>
            </w:r>
          </w:p>
        </w:tc>
        <w:tc>
          <w:tcPr>
            <w:tcW w:w="3158" w:type="pct"/>
            <w:gridSpan w:val="2"/>
            <w:vAlign w:val="center"/>
          </w:tcPr>
          <w:p w:rsidR="00B736D0" w:rsidRPr="000C133F" w:rsidRDefault="00B736D0" w:rsidP="003C6173">
            <w:pPr>
              <w:jc w:val="both"/>
              <w:rPr>
                <w:rFonts w:ascii="Helvetica" w:eastAsia="Times New Roman" w:hAnsi="Helvetica" w:cs="Arial"/>
                <w:color w:val="000000"/>
                <w:sz w:val="20"/>
                <w:szCs w:val="20"/>
                <w:lang w:val="es-ES" w:eastAsia="es-ES"/>
              </w:rPr>
            </w:pPr>
          </w:p>
        </w:tc>
      </w:tr>
      <w:tr w:rsidR="003F0D14" w:rsidRPr="00BB3D89" w:rsidTr="00467B80">
        <w:trPr>
          <w:trHeight w:val="799"/>
          <w:jc w:val="center"/>
        </w:trPr>
        <w:tc>
          <w:tcPr>
            <w:tcW w:w="1783" w:type="pct"/>
            <w:gridSpan w:val="3"/>
            <w:tcBorders>
              <w:top w:val="nil"/>
              <w:bottom w:val="outset" w:sz="6" w:space="0" w:color="auto"/>
              <w:right w:val="outset" w:sz="2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FECHA DE ELABORACIÓN DE LA FICHA METODOLÓGICA</w:t>
            </w:r>
          </w:p>
        </w:tc>
        <w:tc>
          <w:tcPr>
            <w:tcW w:w="3158" w:type="pct"/>
            <w:gridSpan w:val="2"/>
            <w:vAlign w:val="center"/>
            <w:hideMark/>
          </w:tcPr>
          <w:p w:rsidR="003F0D14" w:rsidRPr="00BB3D89" w:rsidRDefault="00D051E7" w:rsidP="001F49D3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11</w:t>
            </w:r>
            <w:r w:rsidR="000B69F1"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/07/2017</w:t>
            </w:r>
          </w:p>
        </w:tc>
      </w:tr>
      <w:tr w:rsidR="003F0D14" w:rsidRPr="00BB3D89" w:rsidTr="00467B80">
        <w:trPr>
          <w:trHeight w:val="781"/>
          <w:jc w:val="center"/>
        </w:trPr>
        <w:tc>
          <w:tcPr>
            <w:tcW w:w="1783" w:type="pct"/>
            <w:gridSpan w:val="3"/>
            <w:tcBorders>
              <w:top w:val="outset" w:sz="6" w:space="0" w:color="auto"/>
              <w:bottom w:val="outset" w:sz="6" w:space="0" w:color="auto"/>
              <w:right w:val="outset" w:sz="24" w:space="0" w:color="auto"/>
            </w:tcBorders>
            <w:shd w:val="clear" w:color="auto" w:fill="B8CCE4" w:themeFill="accent1" w:themeFillTint="66"/>
            <w:vAlign w:val="center"/>
            <w:hideMark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FECHA DE LA ÚLTIMA ACTUALIZACIÓN DE LA FICHA</w:t>
            </w:r>
          </w:p>
        </w:tc>
        <w:tc>
          <w:tcPr>
            <w:tcW w:w="3158" w:type="pct"/>
            <w:gridSpan w:val="2"/>
            <w:vAlign w:val="center"/>
            <w:hideMark/>
          </w:tcPr>
          <w:p w:rsidR="003F0D14" w:rsidRPr="00BB3D89" w:rsidRDefault="007C6689" w:rsidP="00A94B65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08/03/2018</w:t>
            </w:r>
          </w:p>
        </w:tc>
      </w:tr>
      <w:tr w:rsidR="003F0D14" w:rsidRPr="00BB3D89" w:rsidTr="00467B80">
        <w:trPr>
          <w:trHeight w:val="617"/>
          <w:jc w:val="center"/>
        </w:trPr>
        <w:tc>
          <w:tcPr>
            <w:tcW w:w="1784" w:type="pct"/>
            <w:gridSpan w:val="3"/>
            <w:tcBorders>
              <w:top w:val="outset" w:sz="6" w:space="0" w:color="auto"/>
              <w:bottom w:val="nil"/>
              <w:right w:val="outset" w:sz="24" w:space="0" w:color="auto"/>
            </w:tcBorders>
            <w:shd w:val="clear" w:color="auto" w:fill="B8CCE4" w:themeFill="accent1" w:themeFillTint="66"/>
            <w:vAlign w:val="center"/>
          </w:tcPr>
          <w:p w:rsidR="003F0D14" w:rsidRPr="00BB3D89" w:rsidRDefault="00467B80" w:rsidP="00467B80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CLASIFICADOR TEMÁTICO ESTADÍSTICO</w:t>
            </w:r>
          </w:p>
        </w:tc>
        <w:tc>
          <w:tcPr>
            <w:tcW w:w="1716" w:type="pct"/>
            <w:tcBorders>
              <w:right w:val="outset" w:sz="6" w:space="0" w:color="auto"/>
            </w:tcBorders>
            <w:vAlign w:val="center"/>
          </w:tcPr>
          <w:p w:rsidR="003F0D14" w:rsidRPr="00BB3D89" w:rsidRDefault="00467B80" w:rsidP="00A94B65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 xml:space="preserve">Finanzas </w:t>
            </w:r>
          </w:p>
        </w:tc>
        <w:tc>
          <w:tcPr>
            <w:tcW w:w="1421" w:type="pct"/>
            <w:tcBorders>
              <w:left w:val="outset" w:sz="6" w:space="0" w:color="auto"/>
            </w:tcBorders>
            <w:vAlign w:val="center"/>
          </w:tcPr>
          <w:p w:rsidR="003F0D14" w:rsidRPr="00BB3D89" w:rsidRDefault="00467B80" w:rsidP="00A94B65">
            <w:pPr>
              <w:jc w:val="center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10</w:t>
            </w:r>
          </w:p>
        </w:tc>
      </w:tr>
      <w:tr w:rsidR="003F0D14" w:rsidRPr="00BB3D89" w:rsidTr="00467B80">
        <w:trPr>
          <w:trHeight w:val="591"/>
          <w:jc w:val="center"/>
        </w:trPr>
        <w:tc>
          <w:tcPr>
            <w:tcW w:w="1784" w:type="pct"/>
            <w:gridSpan w:val="3"/>
            <w:tcBorders>
              <w:top w:val="nil"/>
              <w:bottom w:val="outset" w:sz="6" w:space="0" w:color="auto"/>
              <w:right w:val="outset" w:sz="24" w:space="0" w:color="auto"/>
            </w:tcBorders>
            <w:shd w:val="clear" w:color="auto" w:fill="B8CCE4" w:themeFill="accent1" w:themeFillTint="66"/>
            <w:vAlign w:val="center"/>
          </w:tcPr>
          <w:p w:rsidR="003F0D14" w:rsidRPr="00BB3D89" w:rsidRDefault="003F0D14" w:rsidP="00A94B65">
            <w:pPr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</w:pPr>
            <w:r w:rsidRPr="00BB3D89">
              <w:rPr>
                <w:rFonts w:ascii="Helvetica" w:eastAsia="Times New Roman" w:hAnsi="Helvetica" w:cs="Helvetica"/>
                <w:b/>
                <w:bCs/>
                <w:sz w:val="20"/>
                <w:szCs w:val="20"/>
              </w:rPr>
              <w:t>ELABORADO POR</w:t>
            </w:r>
          </w:p>
        </w:tc>
        <w:tc>
          <w:tcPr>
            <w:tcW w:w="3157" w:type="pct"/>
            <w:gridSpan w:val="2"/>
            <w:vAlign w:val="center"/>
          </w:tcPr>
          <w:p w:rsidR="003F0D14" w:rsidRPr="00BB3D89" w:rsidRDefault="007C6689" w:rsidP="007C6689">
            <w:pPr>
              <w:jc w:val="both"/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</w:pP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</w:rPr>
              <w:t>Superintendencia de Bancos/Subdirección de Inteligencia de Negocios y Administración de la Información.</w:t>
            </w:r>
          </w:p>
        </w:tc>
      </w:tr>
    </w:tbl>
    <w:p w:rsidR="003D0EAA" w:rsidRDefault="003D0EAA"/>
    <w:p w:rsidR="003F0D14" w:rsidRDefault="003F0D14"/>
    <w:sectPr w:rsidR="003F0D14" w:rsidSect="004C63A5">
      <w:pgSz w:w="11906" w:h="16838"/>
      <w:pgMar w:top="1134" w:right="1304" w:bottom="851" w:left="130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371F70"/>
    <w:multiLevelType w:val="hybridMultilevel"/>
    <w:tmpl w:val="73BA3DF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EBB2A2F"/>
    <w:multiLevelType w:val="hybridMultilevel"/>
    <w:tmpl w:val="F1B43FF8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D14"/>
    <w:rsid w:val="00026227"/>
    <w:rsid w:val="00037BBF"/>
    <w:rsid w:val="00051DA1"/>
    <w:rsid w:val="00070C69"/>
    <w:rsid w:val="000A40DF"/>
    <w:rsid w:val="000B1171"/>
    <w:rsid w:val="000B4277"/>
    <w:rsid w:val="000B69F1"/>
    <w:rsid w:val="000B77C0"/>
    <w:rsid w:val="000C133F"/>
    <w:rsid w:val="000C76C1"/>
    <w:rsid w:val="000F7F33"/>
    <w:rsid w:val="00102044"/>
    <w:rsid w:val="00125BE5"/>
    <w:rsid w:val="001516D0"/>
    <w:rsid w:val="00152A98"/>
    <w:rsid w:val="00166DAD"/>
    <w:rsid w:val="00170370"/>
    <w:rsid w:val="001719CC"/>
    <w:rsid w:val="001B2377"/>
    <w:rsid w:val="001B41D2"/>
    <w:rsid w:val="001C647D"/>
    <w:rsid w:val="001F4452"/>
    <w:rsid w:val="001F49D3"/>
    <w:rsid w:val="00283338"/>
    <w:rsid w:val="002841BA"/>
    <w:rsid w:val="002B7F28"/>
    <w:rsid w:val="002D3141"/>
    <w:rsid w:val="002D37AE"/>
    <w:rsid w:val="003662F7"/>
    <w:rsid w:val="00376F0B"/>
    <w:rsid w:val="00394C5A"/>
    <w:rsid w:val="00395929"/>
    <w:rsid w:val="00397741"/>
    <w:rsid w:val="003A1D28"/>
    <w:rsid w:val="003C6173"/>
    <w:rsid w:val="003D0EAA"/>
    <w:rsid w:val="003D2ABD"/>
    <w:rsid w:val="003D3CC1"/>
    <w:rsid w:val="003F0D14"/>
    <w:rsid w:val="003F1164"/>
    <w:rsid w:val="003F73D5"/>
    <w:rsid w:val="00402C1A"/>
    <w:rsid w:val="004316E2"/>
    <w:rsid w:val="00467B80"/>
    <w:rsid w:val="004A354B"/>
    <w:rsid w:val="004C426B"/>
    <w:rsid w:val="004C63A5"/>
    <w:rsid w:val="004F74AA"/>
    <w:rsid w:val="00506C1D"/>
    <w:rsid w:val="00513383"/>
    <w:rsid w:val="00517E32"/>
    <w:rsid w:val="005244AC"/>
    <w:rsid w:val="0053019F"/>
    <w:rsid w:val="00557859"/>
    <w:rsid w:val="00585096"/>
    <w:rsid w:val="005B2BA0"/>
    <w:rsid w:val="005C7AEA"/>
    <w:rsid w:val="005D32CF"/>
    <w:rsid w:val="005E0FCD"/>
    <w:rsid w:val="0061707F"/>
    <w:rsid w:val="0062276F"/>
    <w:rsid w:val="006700FE"/>
    <w:rsid w:val="00693BF0"/>
    <w:rsid w:val="006A1E0D"/>
    <w:rsid w:val="006D53CF"/>
    <w:rsid w:val="006E6B0E"/>
    <w:rsid w:val="006F112B"/>
    <w:rsid w:val="00701521"/>
    <w:rsid w:val="007105E4"/>
    <w:rsid w:val="00710C91"/>
    <w:rsid w:val="00714FCB"/>
    <w:rsid w:val="00720623"/>
    <w:rsid w:val="00732741"/>
    <w:rsid w:val="00733A20"/>
    <w:rsid w:val="00737A17"/>
    <w:rsid w:val="0074271F"/>
    <w:rsid w:val="007477B8"/>
    <w:rsid w:val="00776EB3"/>
    <w:rsid w:val="00784D69"/>
    <w:rsid w:val="007C6689"/>
    <w:rsid w:val="007D66FD"/>
    <w:rsid w:val="007F2E58"/>
    <w:rsid w:val="008024EA"/>
    <w:rsid w:val="00835D66"/>
    <w:rsid w:val="00846EEF"/>
    <w:rsid w:val="00856C80"/>
    <w:rsid w:val="0086595A"/>
    <w:rsid w:val="00880B78"/>
    <w:rsid w:val="00895C43"/>
    <w:rsid w:val="008C30C2"/>
    <w:rsid w:val="008D19C9"/>
    <w:rsid w:val="008E656B"/>
    <w:rsid w:val="008F5383"/>
    <w:rsid w:val="00910E47"/>
    <w:rsid w:val="00922008"/>
    <w:rsid w:val="0093563C"/>
    <w:rsid w:val="00950CA4"/>
    <w:rsid w:val="00951F81"/>
    <w:rsid w:val="009832B5"/>
    <w:rsid w:val="00992594"/>
    <w:rsid w:val="009B3715"/>
    <w:rsid w:val="009C0E85"/>
    <w:rsid w:val="00A13F7B"/>
    <w:rsid w:val="00A50B9D"/>
    <w:rsid w:val="00AF4013"/>
    <w:rsid w:val="00B228B4"/>
    <w:rsid w:val="00B23922"/>
    <w:rsid w:val="00B259E4"/>
    <w:rsid w:val="00B25A38"/>
    <w:rsid w:val="00B30F63"/>
    <w:rsid w:val="00B34541"/>
    <w:rsid w:val="00B60235"/>
    <w:rsid w:val="00B63234"/>
    <w:rsid w:val="00B736D0"/>
    <w:rsid w:val="00B906B4"/>
    <w:rsid w:val="00B94961"/>
    <w:rsid w:val="00BA0140"/>
    <w:rsid w:val="00BA625A"/>
    <w:rsid w:val="00BD20C2"/>
    <w:rsid w:val="00C02976"/>
    <w:rsid w:val="00C064C4"/>
    <w:rsid w:val="00C17DAC"/>
    <w:rsid w:val="00C20200"/>
    <w:rsid w:val="00C2364C"/>
    <w:rsid w:val="00C43506"/>
    <w:rsid w:val="00C45F0E"/>
    <w:rsid w:val="00C45FE7"/>
    <w:rsid w:val="00C900C1"/>
    <w:rsid w:val="00C94282"/>
    <w:rsid w:val="00CA1E16"/>
    <w:rsid w:val="00CD1CFF"/>
    <w:rsid w:val="00CE371C"/>
    <w:rsid w:val="00D045DC"/>
    <w:rsid w:val="00D051E7"/>
    <w:rsid w:val="00D34151"/>
    <w:rsid w:val="00D550DD"/>
    <w:rsid w:val="00D57CB2"/>
    <w:rsid w:val="00D6643D"/>
    <w:rsid w:val="00E16B68"/>
    <w:rsid w:val="00E37720"/>
    <w:rsid w:val="00E53F76"/>
    <w:rsid w:val="00E61B2C"/>
    <w:rsid w:val="00E746A9"/>
    <w:rsid w:val="00E77AED"/>
    <w:rsid w:val="00EB62CA"/>
    <w:rsid w:val="00EC6474"/>
    <w:rsid w:val="00F11051"/>
    <w:rsid w:val="00F2298C"/>
    <w:rsid w:val="00F50C4F"/>
    <w:rsid w:val="00F72C53"/>
    <w:rsid w:val="00FF33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1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0D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0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table" w:styleId="Tablaweb3">
    <w:name w:val="Table Web 3"/>
    <w:basedOn w:val="Tablanormal"/>
    <w:rsid w:val="003F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3F0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F0D14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41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1BA"/>
    <w:rPr>
      <w:rFonts w:ascii="Tahoma" w:eastAsia="Batang" w:hAnsi="Tahoma" w:cs="Tahoma"/>
      <w:sz w:val="16"/>
      <w:szCs w:val="16"/>
      <w:lang w:eastAsia="ko-KR"/>
    </w:rPr>
  </w:style>
  <w:style w:type="paragraph" w:styleId="Prrafodelista">
    <w:name w:val="List Paragraph"/>
    <w:basedOn w:val="Normal"/>
    <w:uiPriority w:val="34"/>
    <w:qFormat/>
    <w:rsid w:val="008E656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B62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846EEF"/>
  </w:style>
  <w:style w:type="character" w:styleId="Hipervnculo">
    <w:name w:val="Hyperlink"/>
    <w:basedOn w:val="Fuentedeprrafopredeter"/>
    <w:uiPriority w:val="99"/>
    <w:semiHidden/>
    <w:unhideWhenUsed/>
    <w:rsid w:val="00846E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0D14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F0D1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3F0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ko-KR"/>
    </w:rPr>
  </w:style>
  <w:style w:type="table" w:styleId="Tablaweb3">
    <w:name w:val="Table Web 3"/>
    <w:basedOn w:val="Tablanormal"/>
    <w:rsid w:val="003F0D1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C" w:eastAsia="es-EC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">
    <w:name w:val="Table Grid"/>
    <w:basedOn w:val="Tablanormal"/>
    <w:uiPriority w:val="59"/>
    <w:rsid w:val="003F0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3F0D14"/>
    <w:pPr>
      <w:spacing w:before="100" w:beforeAutospacing="1" w:after="100" w:afterAutospacing="1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41B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41BA"/>
    <w:rPr>
      <w:rFonts w:ascii="Tahoma" w:eastAsia="Batang" w:hAnsi="Tahoma" w:cs="Tahoma"/>
      <w:sz w:val="16"/>
      <w:szCs w:val="16"/>
      <w:lang w:eastAsia="ko-KR"/>
    </w:rPr>
  </w:style>
  <w:style w:type="paragraph" w:styleId="Prrafodelista">
    <w:name w:val="List Paragraph"/>
    <w:basedOn w:val="Normal"/>
    <w:uiPriority w:val="34"/>
    <w:qFormat/>
    <w:rsid w:val="008E656B"/>
    <w:pPr>
      <w:ind w:left="720"/>
      <w:contextualSpacing/>
    </w:pPr>
  </w:style>
  <w:style w:type="table" w:customStyle="1" w:styleId="Tablaconcuadrcula1">
    <w:name w:val="Tabla con cuadrícula1"/>
    <w:basedOn w:val="Tablanormal"/>
    <w:next w:val="Tablaconcuadrcula"/>
    <w:uiPriority w:val="59"/>
    <w:rsid w:val="00EB62C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pple-converted-space">
    <w:name w:val="apple-converted-space"/>
    <w:basedOn w:val="Fuentedeprrafopredeter"/>
    <w:rsid w:val="00846EEF"/>
  </w:style>
  <w:style w:type="character" w:styleId="Hipervnculo">
    <w:name w:val="Hyperlink"/>
    <w:basedOn w:val="Fuentedeprrafopredeter"/>
    <w:uiPriority w:val="99"/>
    <w:semiHidden/>
    <w:unhideWhenUsed/>
    <w:rsid w:val="00846E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5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331830-31A0-4BCF-ABEF-94390250F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2356</Characters>
  <Application>Microsoft Office Word</Application>
  <DocSecurity>4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Daniel-Benavides</dc:creator>
  <cp:lastModifiedBy>Maria Fernanda Velasco</cp:lastModifiedBy>
  <cp:revision>2</cp:revision>
  <dcterms:created xsi:type="dcterms:W3CDTF">2019-01-08T15:41:00Z</dcterms:created>
  <dcterms:modified xsi:type="dcterms:W3CDTF">2019-01-08T15:41:00Z</dcterms:modified>
</cp:coreProperties>
</file>