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web3"/>
        <w:tblW w:w="5202" w:type="pct"/>
        <w:jc w:val="center"/>
        <w:tblLayout w:type="fixed"/>
        <w:tblLook w:val="04A0" w:firstRow="1" w:lastRow="0" w:firstColumn="1" w:lastColumn="0" w:noHBand="0" w:noVBand="1"/>
      </w:tblPr>
      <w:tblGrid>
        <w:gridCol w:w="1324"/>
        <w:gridCol w:w="702"/>
        <w:gridCol w:w="1682"/>
        <w:gridCol w:w="3400"/>
        <w:gridCol w:w="2998"/>
      </w:tblGrid>
      <w:tr w:rsidR="003F0D14" w:rsidRPr="00BB3D89" w:rsidTr="00051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tcW w:w="4960" w:type="pct"/>
            <w:gridSpan w:val="5"/>
            <w:shd w:val="clear" w:color="auto" w:fill="365F91" w:themeFill="accent1" w:themeFillShade="BF"/>
            <w:noWrap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BB3D89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  <w:t>FICHA METODOLÓGICA</w:t>
            </w:r>
          </w:p>
        </w:tc>
      </w:tr>
      <w:tr w:rsidR="003F0D14" w:rsidRPr="00BB3D89" w:rsidTr="00E27861">
        <w:trPr>
          <w:trHeight w:val="612"/>
          <w:jc w:val="center"/>
        </w:trPr>
        <w:tc>
          <w:tcPr>
            <w:tcW w:w="969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3972" w:type="pct"/>
            <w:gridSpan w:val="3"/>
            <w:vAlign w:val="center"/>
            <w:hideMark/>
          </w:tcPr>
          <w:p w:rsidR="003F0D14" w:rsidRPr="00922008" w:rsidRDefault="00D34151" w:rsidP="00EB62CA">
            <w:pPr>
              <w:spacing w:before="100" w:beforeAutospacing="1" w:after="100" w:afterAutospacing="1"/>
              <w:jc w:val="both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  <w:t>VOLUMEN DE CRÉDITO</w:t>
            </w:r>
          </w:p>
        </w:tc>
      </w:tr>
      <w:tr w:rsidR="003F0D14" w:rsidRPr="00BB3D89" w:rsidTr="00E27861">
        <w:trPr>
          <w:trHeight w:val="1629"/>
          <w:jc w:val="center"/>
        </w:trPr>
        <w:tc>
          <w:tcPr>
            <w:tcW w:w="969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</w:t>
            </w:r>
          </w:p>
        </w:tc>
        <w:tc>
          <w:tcPr>
            <w:tcW w:w="3972" w:type="pct"/>
            <w:gridSpan w:val="3"/>
            <w:vAlign w:val="center"/>
            <w:hideMark/>
          </w:tcPr>
          <w:p w:rsidR="00EB62CA" w:rsidRPr="00EB62CA" w:rsidRDefault="00D34151" w:rsidP="00951F81">
            <w:pPr>
              <w:jc w:val="both"/>
              <w:rPr>
                <w:rFonts w:ascii="Helvetica" w:hAnsi="Helvetica" w:cs="Arial"/>
                <w:bCs/>
                <w:sz w:val="20"/>
                <w:szCs w:val="20"/>
                <w:lang w:val="es-ES"/>
              </w:rPr>
            </w:pPr>
            <w:r w:rsidRPr="00EB62CA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El indicador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mide el volumen de colocaciones 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del sistema financiero bajo el control de la Superintendencia de Bancos,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e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n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operaciones de crédito 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otorgadas</w:t>
            </w:r>
            <w:r w:rsidR="00951F8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al público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.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Este indicador está  alineado al objetivo de establecer un sistema económico, social, solidario y sostenible mediante una política de incrementar el acc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eso</w:t>
            </w:r>
            <w:r w:rsidR="008F5383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de las personas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al sistema financiero.</w:t>
            </w: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FÓRMULA DE CÁLCULO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tbl>
            <w:tblPr>
              <w:tblStyle w:val="Tablaconcuadrcula"/>
              <w:tblW w:w="8136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02"/>
            </w:tblGrid>
            <w:tr w:rsidR="00E16B68" w:rsidRPr="00EB62CA" w:rsidTr="00950CA4">
              <w:trPr>
                <w:trHeight w:val="334"/>
                <w:tblCellSpacing w:w="20" w:type="dxa"/>
              </w:trPr>
              <w:tc>
                <w:tcPr>
                  <w:tcW w:w="1074" w:type="dxa"/>
                </w:tcPr>
                <w:p w:rsidR="00E16B68" w:rsidRDefault="000B69F1" w:rsidP="000B69F1">
                  <w:pPr>
                    <w:spacing w:after="200" w:line="276" w:lineRule="auto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  <w:r w:rsidRPr="000B69F1"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 xml:space="preserve">No </w:t>
                  </w:r>
                  <w:r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>aplica</w:t>
                  </w:r>
                </w:p>
              </w:tc>
              <w:tc>
                <w:tcPr>
                  <w:tcW w:w="6942" w:type="dxa"/>
                </w:tcPr>
                <w:p w:rsidR="00E16B68" w:rsidRDefault="00E16B68" w:rsidP="00737A17">
                  <w:pPr>
                    <w:tabs>
                      <w:tab w:val="left" w:pos="140"/>
                    </w:tabs>
                    <w:ind w:left="140"/>
                    <w:jc w:val="both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</w:p>
              </w:tc>
            </w:tr>
          </w:tbl>
          <w:p w:rsidR="003F0D14" w:rsidRPr="00EB62CA" w:rsidRDefault="003F0D14" w:rsidP="00A94B65">
            <w:pPr>
              <w:jc w:val="both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 DE LAS VARIABLES RELACIONADAS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p w:rsidR="00D6643D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entidad: Clasificación por bancos privados, bancos públicos y sociedades financieras.</w:t>
            </w:r>
          </w:p>
          <w:p w:rsidR="000B69F1" w:rsidRDefault="000B69F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Entidad: Clasificación por cada una de las entidades financieras que han concedido operaciones de crédito.</w:t>
            </w:r>
          </w:p>
          <w:p w:rsidR="00951F81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crédito: Clasificación por créditos comerciales, de consumo, inmobiliarios, microcréditos, vivienda de interés público y educativo.</w:t>
            </w:r>
          </w:p>
          <w:p w:rsidR="00951F81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operación: Clasificación por operaciones de crédito y operaciones contingentes.</w:t>
            </w:r>
          </w:p>
          <w:p w:rsidR="00951F81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Estado de la operación: Clasificación por operaciones nuevas, novadas, reestructuradas o refinanciadas.</w:t>
            </w:r>
          </w:p>
          <w:p w:rsidR="00951F81" w:rsidRDefault="008F5383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Destino geográfico: Distribución de las operaciones por provincia y cantón receptores de la operación.</w:t>
            </w:r>
          </w:p>
          <w:p w:rsidR="00951F81" w:rsidRDefault="008F5383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Destino económico: Agrupación de las operaciones por sector, subsector, y actividad económica.</w:t>
            </w:r>
          </w:p>
          <w:p w:rsidR="008F5383" w:rsidRDefault="008F5383" w:rsidP="008F5383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Número de operaciones: Cantidad de operaciones que se agrupan considerando las clasificaciones mencionadas.</w:t>
            </w:r>
          </w:p>
          <w:p w:rsidR="008F5383" w:rsidRPr="00D6643D" w:rsidRDefault="008F5383" w:rsidP="008F5383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Monto otorgado: Valor de las operaciones agrupadas de acuerdo a las clasificaciones indicadas.</w:t>
            </w:r>
          </w:p>
        </w:tc>
      </w:tr>
      <w:tr w:rsidR="003F0D14" w:rsidRPr="00BB3D89" w:rsidTr="00457DE7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METODOLOGÍA DE CÁLCULO</w:t>
            </w:r>
          </w:p>
        </w:tc>
      </w:tr>
      <w:tr w:rsidR="003F0D14" w:rsidRPr="00BB3D89" w:rsidTr="00AF4013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F0D14" w:rsidRPr="006F112B" w:rsidRDefault="00835D66" w:rsidP="00835D66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El volumen de crédito se obtiene de la sumatoria de los montos concedidos en las operaciones de crédito y contingentes agregadas de acuerdo a las clasificaciones de los tipos de crédito, tipo de operación, estado de la operación, destino geográfico y destino económico.</w:t>
            </w:r>
          </w:p>
        </w:tc>
      </w:tr>
      <w:tr w:rsidR="003F0D14" w:rsidRPr="00BB3D89" w:rsidTr="00E27861">
        <w:trPr>
          <w:trHeight w:val="67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LIMITACIONES TÉCNICAS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397741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Ninguna</w:t>
            </w:r>
          </w:p>
        </w:tc>
      </w:tr>
      <w:tr w:rsidR="003F0D14" w:rsidRPr="00BB3D89" w:rsidTr="00E27861">
        <w:trPr>
          <w:trHeight w:val="799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UNIDAD DE MEDIDA DE LAS VARIABLES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Dólares</w:t>
            </w:r>
          </w:p>
        </w:tc>
      </w:tr>
      <w:tr w:rsidR="003F0D14" w:rsidRPr="00BB3D89" w:rsidTr="00E27861">
        <w:trPr>
          <w:trHeight w:val="630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INTERPRETACIÓN DEL INDICADOR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3C6173" w:rsidRDefault="00835D66" w:rsidP="00E16B68">
            <w:pPr>
              <w:pStyle w:val="NormalWeb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Permite conocer el monto otorgado y el núme</w:t>
            </w:r>
            <w:r w:rsidR="008024EA">
              <w:rPr>
                <w:rFonts w:ascii="Helvetica" w:hAnsi="Helvetica" w:cs="Helvetica"/>
                <w:sz w:val="20"/>
                <w:szCs w:val="20"/>
              </w:rPr>
              <w:t>r</w:t>
            </w:r>
            <w:r>
              <w:rPr>
                <w:rFonts w:ascii="Helvetica" w:hAnsi="Helvetica" w:cs="Helvetica"/>
                <w:sz w:val="20"/>
                <w:szCs w:val="20"/>
              </w:rPr>
              <w:t>o de operaciones</w:t>
            </w:r>
            <w:r w:rsidR="008024EA">
              <w:rPr>
                <w:rFonts w:ascii="Helvetica" w:hAnsi="Helvetica" w:cs="Helvetica"/>
                <w:sz w:val="20"/>
                <w:szCs w:val="20"/>
              </w:rPr>
              <w:t xml:space="preserve"> de los créditos concedidos por el sistema financiero controlado por la Superintendencia de Bancos.</w:t>
            </w:r>
          </w:p>
        </w:tc>
      </w:tr>
      <w:tr w:rsidR="003F0D14" w:rsidRPr="00BB3D89" w:rsidTr="00E27861">
        <w:trPr>
          <w:trHeight w:val="62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FUENTE DE DATOS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3C6173" w:rsidRDefault="008024EA" w:rsidP="00E16B68">
            <w:pPr>
              <w:jc w:val="both"/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  <w:t>Estructuras integradas de datos remitidas por las entidades controladas por la Superintendencia de bancos</w:t>
            </w:r>
          </w:p>
        </w:tc>
      </w:tr>
      <w:tr w:rsidR="003F0D14" w:rsidRPr="00BB3D89" w:rsidTr="00E27861">
        <w:trPr>
          <w:trHeight w:val="741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PERIODICIDAD DEL INDICADOR Y/O LAS VARIABLES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Mensual</w:t>
            </w:r>
          </w:p>
        </w:tc>
      </w:tr>
      <w:tr w:rsidR="003F0D14" w:rsidRPr="00BB3D89" w:rsidTr="00E27861">
        <w:trPr>
          <w:trHeight w:val="513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DISPONIBILIDAD DE LOS DATOS</w:t>
            </w:r>
            <w:r w:rsidR="0017037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 (SERIE DE DATOS DISPONIBLES)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Enero de 2005 en adelante.</w:t>
            </w:r>
          </w:p>
        </w:tc>
      </w:tr>
      <w:tr w:rsidR="003F0D14" w:rsidRPr="00BB3D89" w:rsidTr="00E27861">
        <w:trPr>
          <w:trHeight w:val="611"/>
          <w:jc w:val="center"/>
        </w:trPr>
        <w:tc>
          <w:tcPr>
            <w:tcW w:w="636" w:type="pct"/>
            <w:vMerge w:val="restart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NIVEL DE DESAGR</w:t>
            </w: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lastRenderedPageBreak/>
              <w:t>E-GACIÓN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lastRenderedPageBreak/>
              <w:t>GEOGRÁFICO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8024EA" w:rsidP="00B259E4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Provincial y cantonal</w:t>
            </w:r>
          </w:p>
        </w:tc>
      </w:tr>
      <w:tr w:rsidR="003F0D14" w:rsidRPr="00BB3D89" w:rsidTr="00E27861">
        <w:trPr>
          <w:trHeight w:val="513"/>
          <w:jc w:val="center"/>
        </w:trPr>
        <w:tc>
          <w:tcPr>
            <w:tcW w:w="636" w:type="pct"/>
            <w:vMerge/>
            <w:tcBorders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Por tipo de entidad financiera, por entidad financiera, tipo de crédito, tipo de operación, estado de la operación.</w:t>
            </w:r>
          </w:p>
        </w:tc>
      </w:tr>
      <w:tr w:rsidR="003F0D14" w:rsidRPr="00BB3D89" w:rsidTr="00E27861">
        <w:trPr>
          <w:trHeight w:val="513"/>
          <w:jc w:val="center"/>
        </w:trPr>
        <w:tc>
          <w:tcPr>
            <w:tcW w:w="636" w:type="pct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OTROS ÁMBITOS</w:t>
            </w:r>
          </w:p>
        </w:tc>
        <w:tc>
          <w:tcPr>
            <w:tcW w:w="3146" w:type="pct"/>
            <w:gridSpan w:val="2"/>
            <w:vAlign w:val="center"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Destino económico clasificado por </w:t>
            </w:r>
            <w:r w:rsidR="000B69F1">
              <w:rPr>
                <w:rFonts w:ascii="Helvetica" w:eastAsia="Times New Roman" w:hAnsi="Helvetica" w:cs="Helvetica"/>
                <w:sz w:val="20"/>
                <w:szCs w:val="20"/>
              </w:rPr>
              <w:t>sector, subsector y actividad.</w:t>
            </w:r>
          </w:p>
        </w:tc>
      </w:tr>
      <w:tr w:rsidR="003F0D14" w:rsidRPr="00BB3D89" w:rsidTr="00E27861">
        <w:trPr>
          <w:trHeight w:val="799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INFORMACIÓN GEO– REFERENCIADA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710C91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No</w:t>
            </w:r>
          </w:p>
        </w:tc>
      </w:tr>
      <w:tr w:rsidR="003F0D14" w:rsidRPr="00BB3D89" w:rsidTr="00E27861">
        <w:trPr>
          <w:trHeight w:val="386"/>
          <w:jc w:val="center"/>
        </w:trPr>
        <w:tc>
          <w:tcPr>
            <w:tcW w:w="1794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RELACIÓN CON INSTRUMENTOS DE PLANIFICACIÓN NACIONAL E INTERNACIONAL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8D19C9" w:rsidRDefault="003F0D14" w:rsidP="003C617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s-ES"/>
              </w:rPr>
            </w:pPr>
          </w:p>
        </w:tc>
      </w:tr>
      <w:tr w:rsidR="003F0D14" w:rsidRPr="00BB3D89" w:rsidTr="00E27861">
        <w:trPr>
          <w:trHeight w:val="391"/>
          <w:jc w:val="center"/>
        </w:trPr>
        <w:tc>
          <w:tcPr>
            <w:tcW w:w="1794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REFERENCIAS BIBLIOGRÁFICAS DE LA CONSTRUCCIÓN DEL INDICADOR</w:t>
            </w:r>
          </w:p>
        </w:tc>
        <w:tc>
          <w:tcPr>
            <w:tcW w:w="3146" w:type="pct"/>
            <w:gridSpan w:val="2"/>
            <w:vAlign w:val="center"/>
          </w:tcPr>
          <w:p w:rsidR="00B736D0" w:rsidRPr="000C133F" w:rsidRDefault="00B736D0" w:rsidP="003C6173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0D14" w:rsidRPr="00BB3D89" w:rsidTr="00E27861">
        <w:trPr>
          <w:trHeight w:val="799"/>
          <w:jc w:val="center"/>
        </w:trPr>
        <w:tc>
          <w:tcPr>
            <w:tcW w:w="1794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ELABORACIÓN DE LA FICHA METODOLÓGICA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0B69F1" w:rsidP="001F49D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07/07/2017</w:t>
            </w:r>
          </w:p>
        </w:tc>
      </w:tr>
      <w:tr w:rsidR="003F0D14" w:rsidRPr="00BB3D89" w:rsidTr="00E27861">
        <w:trPr>
          <w:trHeight w:val="781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LA ÚLTIMA ACTUALIZACIÓN DE LA FICHA</w:t>
            </w:r>
          </w:p>
        </w:tc>
        <w:tc>
          <w:tcPr>
            <w:tcW w:w="3146" w:type="pct"/>
            <w:gridSpan w:val="2"/>
            <w:vAlign w:val="center"/>
            <w:hideMark/>
          </w:tcPr>
          <w:p w:rsidR="003F0D14" w:rsidRPr="00BB3D89" w:rsidRDefault="00D13D6A" w:rsidP="00A94B65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06/03/2018</w:t>
            </w:r>
          </w:p>
        </w:tc>
      </w:tr>
      <w:tr w:rsidR="00E27861" w:rsidRPr="00BB3D89" w:rsidTr="00E27861">
        <w:trPr>
          <w:trHeight w:val="617"/>
          <w:jc w:val="center"/>
        </w:trPr>
        <w:tc>
          <w:tcPr>
            <w:tcW w:w="1794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E27861" w:rsidRPr="00BB3D89" w:rsidRDefault="00E27861" w:rsidP="00664D31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CLASIFICADOR TEMÁTICO ESTADÍSTICO</w:t>
            </w:r>
          </w:p>
        </w:tc>
        <w:tc>
          <w:tcPr>
            <w:tcW w:w="1689" w:type="pct"/>
            <w:tcBorders>
              <w:right w:val="outset" w:sz="6" w:space="0" w:color="auto"/>
            </w:tcBorders>
            <w:vAlign w:val="center"/>
          </w:tcPr>
          <w:p w:rsidR="00E27861" w:rsidRPr="00BB3D89" w:rsidRDefault="00E27861" w:rsidP="00664D31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Finanzas </w:t>
            </w:r>
          </w:p>
        </w:tc>
        <w:tc>
          <w:tcPr>
            <w:tcW w:w="1437" w:type="pct"/>
            <w:tcBorders>
              <w:left w:val="outset" w:sz="6" w:space="0" w:color="auto"/>
            </w:tcBorders>
            <w:vAlign w:val="center"/>
          </w:tcPr>
          <w:p w:rsidR="00E27861" w:rsidRPr="00BB3D89" w:rsidRDefault="00E27861" w:rsidP="00664D31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</w:tr>
      <w:tr w:rsidR="00E27861" w:rsidRPr="00BB3D89" w:rsidTr="00E27861">
        <w:trPr>
          <w:trHeight w:val="591"/>
          <w:jc w:val="center"/>
        </w:trPr>
        <w:tc>
          <w:tcPr>
            <w:tcW w:w="1794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95B3D7" w:themeFill="accent1" w:themeFillTint="99"/>
            <w:vAlign w:val="center"/>
          </w:tcPr>
          <w:p w:rsidR="00E27861" w:rsidRPr="00BB3D89" w:rsidRDefault="00E27861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ELABORADO POR</w:t>
            </w:r>
          </w:p>
        </w:tc>
        <w:tc>
          <w:tcPr>
            <w:tcW w:w="3146" w:type="pct"/>
            <w:gridSpan w:val="2"/>
            <w:vAlign w:val="center"/>
          </w:tcPr>
          <w:p w:rsidR="00E27861" w:rsidRPr="00BB3D89" w:rsidRDefault="00E27861" w:rsidP="00D13D6A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Superintendencia de Bancos/Subdirección de Inteligencia de Negocios y Administración de la Información.</w:t>
            </w:r>
          </w:p>
        </w:tc>
      </w:tr>
    </w:tbl>
    <w:p w:rsidR="003D0EAA" w:rsidRDefault="003D0EAA"/>
    <w:p w:rsidR="003F0D14" w:rsidRDefault="003F0D14"/>
    <w:sectPr w:rsidR="003F0D14" w:rsidSect="004C63A5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F70"/>
    <w:multiLevelType w:val="hybridMultilevel"/>
    <w:tmpl w:val="73BA3D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B2A2F"/>
    <w:multiLevelType w:val="hybridMultilevel"/>
    <w:tmpl w:val="F1B43FF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4"/>
    <w:rsid w:val="00026227"/>
    <w:rsid w:val="00037BBF"/>
    <w:rsid w:val="00051DA1"/>
    <w:rsid w:val="00070C69"/>
    <w:rsid w:val="000A40DF"/>
    <w:rsid w:val="000B1171"/>
    <w:rsid w:val="000B69F1"/>
    <w:rsid w:val="000C133F"/>
    <w:rsid w:val="000C76C1"/>
    <w:rsid w:val="000F7F33"/>
    <w:rsid w:val="00102044"/>
    <w:rsid w:val="00125BE5"/>
    <w:rsid w:val="001516D0"/>
    <w:rsid w:val="00152A98"/>
    <w:rsid w:val="00166DAD"/>
    <w:rsid w:val="00170370"/>
    <w:rsid w:val="001719CC"/>
    <w:rsid w:val="001B2377"/>
    <w:rsid w:val="001B41D2"/>
    <w:rsid w:val="001C647D"/>
    <w:rsid w:val="001F4452"/>
    <w:rsid w:val="001F49D3"/>
    <w:rsid w:val="00210D95"/>
    <w:rsid w:val="00283338"/>
    <w:rsid w:val="002841BA"/>
    <w:rsid w:val="002B7F28"/>
    <w:rsid w:val="002D3141"/>
    <w:rsid w:val="002D37AE"/>
    <w:rsid w:val="003662F7"/>
    <w:rsid w:val="00376F0B"/>
    <w:rsid w:val="00394C5A"/>
    <w:rsid w:val="00395929"/>
    <w:rsid w:val="00397741"/>
    <w:rsid w:val="003A1D28"/>
    <w:rsid w:val="003C6173"/>
    <w:rsid w:val="003D0EAA"/>
    <w:rsid w:val="003D2ABD"/>
    <w:rsid w:val="003D3CC1"/>
    <w:rsid w:val="003F0D14"/>
    <w:rsid w:val="003F1164"/>
    <w:rsid w:val="003F73D5"/>
    <w:rsid w:val="00402C1A"/>
    <w:rsid w:val="004316E2"/>
    <w:rsid w:val="00457DE7"/>
    <w:rsid w:val="004C426B"/>
    <w:rsid w:val="004C63A5"/>
    <w:rsid w:val="004F74AA"/>
    <w:rsid w:val="00506C1D"/>
    <w:rsid w:val="00513383"/>
    <w:rsid w:val="00517E32"/>
    <w:rsid w:val="005244AC"/>
    <w:rsid w:val="0053019F"/>
    <w:rsid w:val="00585096"/>
    <w:rsid w:val="005B2BA0"/>
    <w:rsid w:val="005C7AEA"/>
    <w:rsid w:val="005D32CF"/>
    <w:rsid w:val="005E0FCD"/>
    <w:rsid w:val="0061707F"/>
    <w:rsid w:val="0062276F"/>
    <w:rsid w:val="006700FE"/>
    <w:rsid w:val="00693BF0"/>
    <w:rsid w:val="006D53CF"/>
    <w:rsid w:val="006E6B0E"/>
    <w:rsid w:val="006F112B"/>
    <w:rsid w:val="00701521"/>
    <w:rsid w:val="007105E4"/>
    <w:rsid w:val="00710C91"/>
    <w:rsid w:val="00714FCB"/>
    <w:rsid w:val="00720623"/>
    <w:rsid w:val="00733A20"/>
    <w:rsid w:val="00737A17"/>
    <w:rsid w:val="0074271F"/>
    <w:rsid w:val="007477B8"/>
    <w:rsid w:val="00776EB3"/>
    <w:rsid w:val="00784D69"/>
    <w:rsid w:val="007D66FD"/>
    <w:rsid w:val="007F2E58"/>
    <w:rsid w:val="008024EA"/>
    <w:rsid w:val="00835D66"/>
    <w:rsid w:val="00846EEF"/>
    <w:rsid w:val="00856C80"/>
    <w:rsid w:val="00880B78"/>
    <w:rsid w:val="00895C43"/>
    <w:rsid w:val="008C30C2"/>
    <w:rsid w:val="008D19C9"/>
    <w:rsid w:val="008E656B"/>
    <w:rsid w:val="008F5383"/>
    <w:rsid w:val="00910E47"/>
    <w:rsid w:val="00922008"/>
    <w:rsid w:val="0093563C"/>
    <w:rsid w:val="00950CA4"/>
    <w:rsid w:val="00951F81"/>
    <w:rsid w:val="009832B5"/>
    <w:rsid w:val="00992594"/>
    <w:rsid w:val="009C0E85"/>
    <w:rsid w:val="00A50B9D"/>
    <w:rsid w:val="00AF4013"/>
    <w:rsid w:val="00B228B4"/>
    <w:rsid w:val="00B23922"/>
    <w:rsid w:val="00B259E4"/>
    <w:rsid w:val="00B25A38"/>
    <w:rsid w:val="00B30F63"/>
    <w:rsid w:val="00B34541"/>
    <w:rsid w:val="00B60235"/>
    <w:rsid w:val="00B736D0"/>
    <w:rsid w:val="00B906B4"/>
    <w:rsid w:val="00BA0140"/>
    <w:rsid w:val="00BA625A"/>
    <w:rsid w:val="00BD20C2"/>
    <w:rsid w:val="00C02976"/>
    <w:rsid w:val="00C064C4"/>
    <w:rsid w:val="00C17DAC"/>
    <w:rsid w:val="00C20200"/>
    <w:rsid w:val="00C2364C"/>
    <w:rsid w:val="00C300D7"/>
    <w:rsid w:val="00C43506"/>
    <w:rsid w:val="00C45F0E"/>
    <w:rsid w:val="00C900C1"/>
    <w:rsid w:val="00C94282"/>
    <w:rsid w:val="00CA1E16"/>
    <w:rsid w:val="00CD1CFF"/>
    <w:rsid w:val="00CE371C"/>
    <w:rsid w:val="00D045DC"/>
    <w:rsid w:val="00D13D6A"/>
    <w:rsid w:val="00D34151"/>
    <w:rsid w:val="00D550DD"/>
    <w:rsid w:val="00D57CB2"/>
    <w:rsid w:val="00D6643D"/>
    <w:rsid w:val="00E16B68"/>
    <w:rsid w:val="00E27861"/>
    <w:rsid w:val="00E37720"/>
    <w:rsid w:val="00E53F76"/>
    <w:rsid w:val="00E61B2C"/>
    <w:rsid w:val="00E746A9"/>
    <w:rsid w:val="00EB62CA"/>
    <w:rsid w:val="00EC6474"/>
    <w:rsid w:val="00F2298C"/>
    <w:rsid w:val="00F50C4F"/>
    <w:rsid w:val="00F72C53"/>
    <w:rsid w:val="00FF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4CFB-E5E6-461D-BD68-F54B0979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Daniel-Benavides</dc:creator>
  <cp:lastModifiedBy>Maria Fernanda Velasco</cp:lastModifiedBy>
  <cp:revision>2</cp:revision>
  <dcterms:created xsi:type="dcterms:W3CDTF">2019-01-08T15:42:00Z</dcterms:created>
  <dcterms:modified xsi:type="dcterms:W3CDTF">2019-01-08T15:42:00Z</dcterms:modified>
</cp:coreProperties>
</file>