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320" w:type="pct"/>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4A0" w:firstRow="1" w:lastRow="0" w:firstColumn="1" w:lastColumn="0" w:noHBand="0" w:noVBand="1"/>
      </w:tblPr>
      <w:tblGrid>
        <w:gridCol w:w="2141"/>
        <w:gridCol w:w="1354"/>
        <w:gridCol w:w="1294"/>
        <w:gridCol w:w="2450"/>
        <w:gridCol w:w="2607"/>
      </w:tblGrid>
      <w:tr w:rsidR="00030D84" w:rsidRPr="008F7668" w:rsidTr="00F44A9A">
        <w:trPr>
          <w:trHeight w:val="691"/>
          <w:tblCellSpacing w:w="20" w:type="dxa"/>
        </w:trPr>
        <w:tc>
          <w:tcPr>
            <w:tcW w:w="4959" w:type="pct"/>
            <w:gridSpan w:val="5"/>
            <w:shd w:val="clear" w:color="auto" w:fill="365F91"/>
            <w:noWrap/>
            <w:vAlign w:val="center"/>
            <w:hideMark/>
          </w:tcPr>
          <w:p w:rsidR="00030D84" w:rsidRPr="008F7668" w:rsidRDefault="00030D84" w:rsidP="00004233">
            <w:pPr>
              <w:jc w:val="center"/>
              <w:rPr>
                <w:rFonts w:ascii="Arial" w:eastAsia="Times New Roman" w:hAnsi="Arial" w:cs="Arial"/>
                <w:b/>
                <w:bCs/>
                <w:color w:val="FFFFFF"/>
                <w:sz w:val="20"/>
                <w:szCs w:val="20"/>
              </w:rPr>
            </w:pPr>
            <w:r w:rsidRPr="008F7668">
              <w:rPr>
                <w:rFonts w:ascii="Arial" w:eastAsia="Times New Roman" w:hAnsi="Arial" w:cs="Arial"/>
                <w:b/>
                <w:bCs/>
                <w:color w:val="FFFFFF"/>
                <w:sz w:val="20"/>
                <w:szCs w:val="20"/>
              </w:rPr>
              <w:t>FICHA METODOLÓGICA</w:t>
            </w:r>
            <w:r w:rsidR="00E57B12">
              <w:rPr>
                <w:rFonts w:ascii="Arial" w:eastAsia="Times New Roman" w:hAnsi="Arial" w:cs="Arial"/>
                <w:b/>
                <w:bCs/>
                <w:color w:val="FFFFFF"/>
                <w:sz w:val="20"/>
                <w:szCs w:val="20"/>
              </w:rPr>
              <w:t>-INDICADOR</w:t>
            </w:r>
            <w:r w:rsidR="008F7668" w:rsidRPr="008F7668">
              <w:rPr>
                <w:rFonts w:ascii="Arial" w:eastAsia="Times New Roman" w:hAnsi="Arial" w:cs="Arial"/>
                <w:b/>
                <w:bCs/>
                <w:color w:val="FFFFFF"/>
                <w:sz w:val="20"/>
                <w:szCs w:val="20"/>
              </w:rPr>
              <w:t xml:space="preserve"> ODS</w:t>
            </w:r>
          </w:p>
        </w:tc>
      </w:tr>
      <w:tr w:rsidR="00030D84" w:rsidRPr="008F7668" w:rsidTr="00F44A9A">
        <w:trPr>
          <w:trHeight w:val="612"/>
          <w:tblCellSpacing w:w="20" w:type="dxa"/>
        </w:trPr>
        <w:tc>
          <w:tcPr>
            <w:tcW w:w="1727" w:type="pct"/>
            <w:gridSpan w:val="2"/>
            <w:shd w:val="clear" w:color="auto" w:fill="C6D9F1"/>
            <w:vAlign w:val="center"/>
            <w:hideMark/>
          </w:tcPr>
          <w:p w:rsidR="00030D84" w:rsidRPr="008F7668" w:rsidRDefault="00030D84" w:rsidP="00004233">
            <w:pPr>
              <w:rPr>
                <w:rFonts w:ascii="Arial" w:eastAsia="Times New Roman" w:hAnsi="Arial" w:cs="Arial"/>
                <w:b/>
                <w:bCs/>
                <w:sz w:val="20"/>
                <w:szCs w:val="20"/>
              </w:rPr>
            </w:pPr>
            <w:r w:rsidRPr="008F7668">
              <w:rPr>
                <w:rFonts w:ascii="Arial" w:eastAsia="Times New Roman" w:hAnsi="Arial" w:cs="Arial"/>
                <w:b/>
                <w:bCs/>
                <w:sz w:val="20"/>
                <w:szCs w:val="20"/>
              </w:rPr>
              <w:t>NOMBRE DEL INDICADOR</w:t>
            </w:r>
          </w:p>
        </w:tc>
        <w:tc>
          <w:tcPr>
            <w:tcW w:w="3212" w:type="pct"/>
            <w:gridSpan w:val="3"/>
            <w:shd w:val="clear" w:color="auto" w:fill="auto"/>
            <w:vAlign w:val="center"/>
            <w:hideMark/>
          </w:tcPr>
          <w:p w:rsidR="00832D45" w:rsidRPr="008F7668" w:rsidRDefault="00832D45" w:rsidP="00004233">
            <w:pPr>
              <w:jc w:val="both"/>
              <w:rPr>
                <w:rFonts w:ascii="Arial" w:hAnsi="Arial" w:cs="Arial"/>
                <w:b/>
                <w:bCs/>
                <w:iCs/>
                <w:sz w:val="20"/>
                <w:szCs w:val="20"/>
              </w:rPr>
            </w:pPr>
            <w:r w:rsidRPr="008F7668">
              <w:rPr>
                <w:rFonts w:ascii="Arial" w:hAnsi="Arial" w:cs="Arial"/>
                <w:b/>
                <w:bCs/>
                <w:iCs/>
                <w:sz w:val="20"/>
                <w:szCs w:val="20"/>
              </w:rPr>
              <w:t>Indicadores de Solidez Financiera</w:t>
            </w:r>
          </w:p>
          <w:p w:rsidR="00030D84" w:rsidRPr="008F7668" w:rsidRDefault="005D2AC5" w:rsidP="00714475">
            <w:pPr>
              <w:jc w:val="both"/>
              <w:rPr>
                <w:rFonts w:ascii="Arial" w:hAnsi="Arial" w:cs="Arial"/>
                <w:b/>
                <w:bCs/>
                <w:iCs/>
                <w:sz w:val="20"/>
                <w:szCs w:val="20"/>
              </w:rPr>
            </w:pPr>
            <w:r w:rsidRPr="008F7668">
              <w:rPr>
                <w:rFonts w:ascii="Arial" w:hAnsi="Arial" w:cs="Arial"/>
                <w:b/>
                <w:bCs/>
                <w:i/>
                <w:iCs/>
                <w:sz w:val="20"/>
                <w:szCs w:val="20"/>
              </w:rPr>
              <w:t xml:space="preserve">5. </w:t>
            </w:r>
            <w:r w:rsidR="00714475" w:rsidRPr="008F7668">
              <w:rPr>
                <w:rFonts w:ascii="Arial" w:hAnsi="Arial" w:cs="Arial"/>
                <w:b/>
                <w:bCs/>
                <w:i/>
                <w:iCs/>
                <w:sz w:val="20"/>
                <w:szCs w:val="20"/>
              </w:rPr>
              <w:t xml:space="preserve">Margen Financiero </w:t>
            </w:r>
            <w:r w:rsidR="009F6C8B">
              <w:rPr>
                <w:rFonts w:ascii="Arial" w:hAnsi="Arial" w:cs="Arial"/>
                <w:b/>
                <w:bCs/>
                <w:i/>
                <w:iCs/>
                <w:sz w:val="20"/>
                <w:szCs w:val="20"/>
              </w:rPr>
              <w:t xml:space="preserve">/ </w:t>
            </w:r>
            <w:r w:rsidR="00714475" w:rsidRPr="008F7668">
              <w:rPr>
                <w:rFonts w:ascii="Arial" w:hAnsi="Arial" w:cs="Arial"/>
                <w:b/>
                <w:bCs/>
                <w:i/>
                <w:iCs/>
                <w:sz w:val="20"/>
                <w:szCs w:val="20"/>
              </w:rPr>
              <w:t>Ingreso B</w:t>
            </w:r>
            <w:r w:rsidR="00B77C8F" w:rsidRPr="008F7668">
              <w:rPr>
                <w:rFonts w:ascii="Arial" w:hAnsi="Arial" w:cs="Arial"/>
                <w:b/>
                <w:bCs/>
                <w:i/>
                <w:iCs/>
                <w:sz w:val="20"/>
                <w:szCs w:val="20"/>
              </w:rPr>
              <w:t>ruto</w:t>
            </w:r>
          </w:p>
        </w:tc>
      </w:tr>
      <w:tr w:rsidR="00030D84" w:rsidRPr="008F7668" w:rsidTr="00F44A9A">
        <w:trPr>
          <w:trHeight w:val="606"/>
          <w:tblCellSpacing w:w="20" w:type="dxa"/>
        </w:trPr>
        <w:tc>
          <w:tcPr>
            <w:tcW w:w="1727" w:type="pct"/>
            <w:gridSpan w:val="2"/>
            <w:shd w:val="clear" w:color="auto" w:fill="C6D9F1"/>
            <w:vAlign w:val="center"/>
            <w:hideMark/>
          </w:tcPr>
          <w:p w:rsidR="00030D84" w:rsidRPr="008F7668" w:rsidRDefault="00030D84" w:rsidP="00004233">
            <w:pPr>
              <w:rPr>
                <w:rFonts w:ascii="Arial" w:eastAsia="Times New Roman" w:hAnsi="Arial" w:cs="Arial"/>
                <w:b/>
                <w:bCs/>
                <w:sz w:val="20"/>
                <w:szCs w:val="20"/>
              </w:rPr>
            </w:pPr>
            <w:r w:rsidRPr="008F7668">
              <w:rPr>
                <w:rFonts w:ascii="Arial" w:eastAsia="Times New Roman" w:hAnsi="Arial" w:cs="Arial"/>
                <w:b/>
                <w:bCs/>
                <w:sz w:val="20"/>
                <w:szCs w:val="20"/>
              </w:rPr>
              <w:t>DEFINICIÓN</w:t>
            </w:r>
          </w:p>
        </w:tc>
        <w:tc>
          <w:tcPr>
            <w:tcW w:w="3212" w:type="pct"/>
            <w:gridSpan w:val="3"/>
            <w:shd w:val="clear" w:color="auto" w:fill="auto"/>
            <w:vAlign w:val="center"/>
            <w:hideMark/>
          </w:tcPr>
          <w:p w:rsidR="00C82F32" w:rsidRPr="008F7668" w:rsidRDefault="00276296" w:rsidP="00276296">
            <w:pPr>
              <w:autoSpaceDE w:val="0"/>
              <w:autoSpaceDN w:val="0"/>
              <w:adjustRightInd w:val="0"/>
              <w:spacing w:after="0" w:line="240" w:lineRule="auto"/>
              <w:rPr>
                <w:rFonts w:ascii="Arial" w:hAnsi="Arial" w:cs="Arial"/>
                <w:i/>
                <w:sz w:val="20"/>
                <w:szCs w:val="20"/>
              </w:rPr>
            </w:pPr>
            <w:r w:rsidRPr="008F7668">
              <w:rPr>
                <w:rFonts w:ascii="Arial" w:hAnsi="Arial" w:cs="Arial"/>
                <w:i/>
                <w:sz w:val="20"/>
                <w:szCs w:val="20"/>
              </w:rPr>
              <w:t>“Este Indicador de Solidez financiera mide el ingreso financiero neto —ingresos financieros menos gastos financieros— como proporción del ingreso bruto”</w:t>
            </w:r>
          </w:p>
        </w:tc>
      </w:tr>
      <w:tr w:rsidR="00030D84" w:rsidRPr="008F7668" w:rsidTr="004A0DC0">
        <w:trPr>
          <w:trHeight w:val="513"/>
          <w:tblCellSpacing w:w="20" w:type="dxa"/>
        </w:trPr>
        <w:tc>
          <w:tcPr>
            <w:tcW w:w="4959" w:type="pct"/>
            <w:gridSpan w:val="5"/>
            <w:shd w:val="clear" w:color="auto" w:fill="C6D9F1"/>
            <w:vAlign w:val="center"/>
            <w:hideMark/>
          </w:tcPr>
          <w:p w:rsidR="00030D84" w:rsidRPr="008F7668" w:rsidRDefault="00C022E1" w:rsidP="00004233">
            <w:pPr>
              <w:jc w:val="center"/>
              <w:rPr>
                <w:rFonts w:ascii="Arial" w:eastAsia="Times New Roman" w:hAnsi="Arial" w:cs="Arial"/>
                <w:b/>
                <w:bCs/>
                <w:i/>
                <w:sz w:val="20"/>
                <w:szCs w:val="20"/>
              </w:rPr>
            </w:pPr>
            <w:r w:rsidRPr="008F7668">
              <w:rPr>
                <w:rFonts w:ascii="Arial" w:eastAsia="Times New Roman" w:hAnsi="Arial" w:cs="Arial"/>
                <w:b/>
                <w:bCs/>
                <w:i/>
                <w:sz w:val="20"/>
                <w:szCs w:val="20"/>
              </w:rPr>
              <w:t>FÓRMULA DE CÁ</w:t>
            </w:r>
            <w:r w:rsidR="00030D84" w:rsidRPr="008F7668">
              <w:rPr>
                <w:rFonts w:ascii="Arial" w:eastAsia="Times New Roman" w:hAnsi="Arial" w:cs="Arial"/>
                <w:b/>
                <w:bCs/>
                <w:i/>
                <w:sz w:val="20"/>
                <w:szCs w:val="20"/>
              </w:rPr>
              <w:t>LCULO</w:t>
            </w:r>
          </w:p>
        </w:tc>
      </w:tr>
      <w:tr w:rsidR="004E7BA5" w:rsidRPr="008F7668" w:rsidTr="004A0DC0">
        <w:trPr>
          <w:trHeight w:val="513"/>
          <w:tblCellSpacing w:w="20" w:type="dxa"/>
        </w:trPr>
        <w:tc>
          <w:tcPr>
            <w:tcW w:w="4959" w:type="pct"/>
            <w:gridSpan w:val="5"/>
            <w:shd w:val="clear" w:color="auto" w:fill="auto"/>
          </w:tcPr>
          <w:p w:rsidR="00BA301E" w:rsidRPr="008F7668" w:rsidRDefault="00832D45" w:rsidP="00BA301E">
            <w:pPr>
              <w:autoSpaceDE w:val="0"/>
              <w:autoSpaceDN w:val="0"/>
              <w:adjustRightInd w:val="0"/>
              <w:spacing w:after="0" w:line="240" w:lineRule="auto"/>
              <w:jc w:val="center"/>
              <w:rPr>
                <w:rFonts w:ascii="Arial" w:hAnsi="Arial" w:cs="Arial"/>
                <w:sz w:val="20"/>
                <w:szCs w:val="20"/>
              </w:rPr>
            </w:pPr>
            <w:r w:rsidRPr="008F7668">
              <w:rPr>
                <w:rFonts w:ascii="Arial" w:hAnsi="Arial" w:cs="Arial"/>
                <w:sz w:val="20"/>
                <w:szCs w:val="20"/>
              </w:rPr>
              <w:t>Margen financiero</w:t>
            </w:r>
            <w:r w:rsidR="00455EF4" w:rsidRPr="008F7668">
              <w:rPr>
                <w:rFonts w:ascii="Arial" w:hAnsi="Arial" w:cs="Arial"/>
                <w:sz w:val="20"/>
                <w:szCs w:val="20"/>
              </w:rPr>
              <w:t xml:space="preserve"> </w:t>
            </w:r>
            <w:r w:rsidR="003F1D46" w:rsidRPr="008F7668">
              <w:rPr>
                <w:rFonts w:ascii="Arial" w:hAnsi="Arial" w:cs="Arial"/>
                <w:sz w:val="20"/>
                <w:szCs w:val="20"/>
              </w:rPr>
              <w:t>I</w:t>
            </w:r>
            <w:r w:rsidR="002915D4" w:rsidRPr="008F7668">
              <w:rPr>
                <w:rFonts w:ascii="Arial" w:hAnsi="Arial" w:cs="Arial"/>
                <w:sz w:val="20"/>
                <w:szCs w:val="20"/>
              </w:rPr>
              <w:t xml:space="preserve">ngreso </w:t>
            </w:r>
            <w:r w:rsidR="003F1D46" w:rsidRPr="008F7668">
              <w:rPr>
                <w:rFonts w:ascii="Arial" w:hAnsi="Arial" w:cs="Arial"/>
                <w:sz w:val="20"/>
                <w:szCs w:val="20"/>
              </w:rPr>
              <w:t>Financiero B</w:t>
            </w:r>
            <w:r w:rsidR="002915D4" w:rsidRPr="008F7668">
              <w:rPr>
                <w:rFonts w:ascii="Arial" w:hAnsi="Arial" w:cs="Arial"/>
                <w:sz w:val="20"/>
                <w:szCs w:val="20"/>
              </w:rPr>
              <w:t>ruto</w:t>
            </w:r>
            <w:r w:rsidR="001B53D0" w:rsidRPr="008F7668">
              <w:rPr>
                <w:rFonts w:ascii="Arial" w:hAnsi="Arial" w:cs="Arial"/>
                <w:sz w:val="20"/>
                <w:szCs w:val="20"/>
              </w:rPr>
              <w:t xml:space="preserve"> (IF00</w:t>
            </w:r>
            <w:r w:rsidR="002915D4" w:rsidRPr="008F7668">
              <w:rPr>
                <w:rFonts w:ascii="Arial" w:hAnsi="Arial" w:cs="Arial"/>
                <w:sz w:val="20"/>
                <w:szCs w:val="20"/>
              </w:rPr>
              <w:t>8</w:t>
            </w:r>
            <w:r w:rsidR="001B53D0" w:rsidRPr="008F7668">
              <w:rPr>
                <w:rFonts w:ascii="Arial" w:hAnsi="Arial" w:cs="Arial"/>
                <w:sz w:val="20"/>
                <w:szCs w:val="20"/>
              </w:rPr>
              <w:t>)</w:t>
            </w:r>
          </w:p>
          <w:p w:rsidR="00714475" w:rsidRPr="008F7668" w:rsidRDefault="00714475" w:rsidP="00BA301E">
            <w:pPr>
              <w:autoSpaceDE w:val="0"/>
              <w:autoSpaceDN w:val="0"/>
              <w:adjustRightInd w:val="0"/>
              <w:spacing w:after="0" w:line="240" w:lineRule="auto"/>
              <w:jc w:val="center"/>
              <w:rPr>
                <w:rFonts w:ascii="Arial" w:hAnsi="Arial" w:cs="Arial"/>
                <w:sz w:val="20"/>
                <w:szCs w:val="20"/>
              </w:rPr>
            </w:pPr>
          </w:p>
          <w:p w:rsidR="00455EF4" w:rsidRDefault="00714475" w:rsidP="00455EF4">
            <w:pPr>
              <w:autoSpaceDE w:val="0"/>
              <w:autoSpaceDN w:val="0"/>
              <w:adjustRightInd w:val="0"/>
              <w:spacing w:after="0" w:line="240" w:lineRule="auto"/>
              <w:jc w:val="both"/>
              <w:rPr>
                <w:rFonts w:ascii="Arial" w:hAnsi="Arial" w:cs="Arial"/>
                <w:sz w:val="20"/>
                <w:szCs w:val="20"/>
              </w:rPr>
            </w:pPr>
            <w:r w:rsidRPr="008F7668">
              <w:rPr>
                <w:rFonts w:ascii="Arial" w:hAnsi="Arial" w:cs="Arial"/>
                <w:sz w:val="20"/>
                <w:szCs w:val="20"/>
              </w:rPr>
              <w:t xml:space="preserve">                               </w:t>
            </w:r>
            <w:r w:rsidR="003F1D46" w:rsidRPr="008F7668">
              <w:rPr>
                <w:rFonts w:ascii="Arial" w:hAnsi="Arial" w:cs="Arial"/>
                <w:sz w:val="20"/>
                <w:szCs w:val="20"/>
              </w:rPr>
              <w:t>Margen Financiero Neto</w:t>
            </w:r>
            <w:r w:rsidRPr="008F7668">
              <w:rPr>
                <w:rFonts w:ascii="Arial" w:hAnsi="Arial" w:cs="Arial"/>
                <w:sz w:val="20"/>
                <w:szCs w:val="20"/>
              </w:rPr>
              <w:t xml:space="preserve"> </w:t>
            </w:r>
            <w:r w:rsidR="003F1D46" w:rsidRPr="008F7668">
              <w:rPr>
                <w:rFonts w:ascii="Arial" w:hAnsi="Arial" w:cs="Arial"/>
                <w:sz w:val="20"/>
                <w:szCs w:val="20"/>
              </w:rPr>
              <w:t xml:space="preserve">= </w:t>
            </w:r>
            <w:r w:rsidR="00B10AFD" w:rsidRPr="008F7668">
              <w:rPr>
                <w:rFonts w:ascii="Arial" w:hAnsi="Arial" w:cs="Arial"/>
                <w:sz w:val="20"/>
                <w:szCs w:val="20"/>
              </w:rPr>
              <w:t>Ingresos F</w:t>
            </w:r>
            <w:r w:rsidR="00455EF4" w:rsidRPr="008F7668">
              <w:rPr>
                <w:rFonts w:ascii="Arial" w:hAnsi="Arial" w:cs="Arial"/>
                <w:sz w:val="20"/>
                <w:szCs w:val="20"/>
              </w:rPr>
              <w:t xml:space="preserve">inancieros – Gastos </w:t>
            </w:r>
            <w:r w:rsidR="00B10AFD" w:rsidRPr="008F7668">
              <w:rPr>
                <w:rFonts w:ascii="Arial" w:hAnsi="Arial" w:cs="Arial"/>
                <w:sz w:val="20"/>
                <w:szCs w:val="20"/>
              </w:rPr>
              <w:t>F</w:t>
            </w:r>
            <w:r w:rsidR="00455EF4" w:rsidRPr="008F7668">
              <w:rPr>
                <w:rFonts w:ascii="Arial" w:hAnsi="Arial" w:cs="Arial"/>
                <w:sz w:val="20"/>
                <w:szCs w:val="20"/>
              </w:rPr>
              <w:t>inancieros</w:t>
            </w:r>
          </w:p>
          <w:p w:rsidR="008F7668" w:rsidRPr="008F7668" w:rsidRDefault="008F7668" w:rsidP="00455EF4">
            <w:pPr>
              <w:autoSpaceDE w:val="0"/>
              <w:autoSpaceDN w:val="0"/>
              <w:adjustRightInd w:val="0"/>
              <w:spacing w:after="0" w:line="240" w:lineRule="auto"/>
              <w:jc w:val="both"/>
              <w:rPr>
                <w:rFonts w:ascii="Arial" w:hAnsi="Arial" w:cs="Arial"/>
                <w:sz w:val="20"/>
                <w:szCs w:val="20"/>
              </w:rPr>
            </w:pPr>
          </w:p>
        </w:tc>
      </w:tr>
      <w:tr w:rsidR="004E7BA5" w:rsidRPr="008F7668" w:rsidTr="004A0DC0">
        <w:trPr>
          <w:trHeight w:val="513"/>
          <w:tblCellSpacing w:w="20" w:type="dxa"/>
        </w:trPr>
        <w:tc>
          <w:tcPr>
            <w:tcW w:w="4959" w:type="pct"/>
            <w:gridSpan w:val="5"/>
            <w:shd w:val="clear" w:color="auto" w:fill="C6D9F1"/>
            <w:vAlign w:val="center"/>
            <w:hideMark/>
          </w:tcPr>
          <w:p w:rsidR="004E7BA5" w:rsidRPr="008F7668" w:rsidRDefault="004E7BA5" w:rsidP="00004233">
            <w:pPr>
              <w:jc w:val="center"/>
              <w:rPr>
                <w:rFonts w:ascii="Arial" w:eastAsia="Times New Roman" w:hAnsi="Arial" w:cs="Arial"/>
                <w:b/>
                <w:bCs/>
                <w:sz w:val="20"/>
                <w:szCs w:val="20"/>
              </w:rPr>
            </w:pPr>
            <w:r w:rsidRPr="008F7668">
              <w:rPr>
                <w:rFonts w:ascii="Arial" w:eastAsia="Times New Roman" w:hAnsi="Arial" w:cs="Arial"/>
                <w:b/>
                <w:bCs/>
                <w:sz w:val="20"/>
                <w:szCs w:val="20"/>
              </w:rPr>
              <w:t>DEFINICIÓN DE LAS VARIABLES RELACIONADAS</w:t>
            </w:r>
          </w:p>
        </w:tc>
      </w:tr>
      <w:tr w:rsidR="004E7BA5" w:rsidRPr="008F7668" w:rsidTr="004A0DC0">
        <w:trPr>
          <w:trHeight w:val="513"/>
          <w:tblCellSpacing w:w="20" w:type="dxa"/>
        </w:trPr>
        <w:tc>
          <w:tcPr>
            <w:tcW w:w="4959" w:type="pct"/>
            <w:gridSpan w:val="5"/>
            <w:shd w:val="clear" w:color="auto" w:fill="auto"/>
          </w:tcPr>
          <w:p w:rsidR="00276296" w:rsidRPr="008F7668" w:rsidRDefault="00121512" w:rsidP="002915D4">
            <w:pPr>
              <w:jc w:val="both"/>
              <w:rPr>
                <w:rFonts w:ascii="Arial" w:eastAsia="Times New Roman" w:hAnsi="Arial" w:cs="Arial"/>
                <w:b/>
                <w:sz w:val="20"/>
                <w:szCs w:val="20"/>
              </w:rPr>
            </w:pPr>
            <w:r w:rsidRPr="008F7668">
              <w:rPr>
                <w:rFonts w:ascii="Arial" w:eastAsia="Times New Roman" w:hAnsi="Arial" w:cs="Arial"/>
                <w:sz w:val="20"/>
                <w:szCs w:val="20"/>
              </w:rPr>
              <w:t xml:space="preserve">El concepto de </w:t>
            </w:r>
            <w:r w:rsidR="00276296" w:rsidRPr="008F7668">
              <w:rPr>
                <w:rFonts w:ascii="Arial" w:eastAsia="Times New Roman" w:hAnsi="Arial" w:cs="Arial"/>
                <w:b/>
                <w:sz w:val="20"/>
                <w:szCs w:val="20"/>
              </w:rPr>
              <w:t>Ingreso financiero Neto</w:t>
            </w:r>
            <w:r w:rsidRPr="008F7668">
              <w:rPr>
                <w:rFonts w:ascii="Arial" w:eastAsia="Times New Roman" w:hAnsi="Arial" w:cs="Arial"/>
                <w:b/>
                <w:sz w:val="20"/>
                <w:szCs w:val="20"/>
              </w:rPr>
              <w:t xml:space="preserve"> </w:t>
            </w:r>
            <w:r w:rsidRPr="008F7668">
              <w:rPr>
                <w:rFonts w:ascii="Arial" w:eastAsia="Times New Roman" w:hAnsi="Arial" w:cs="Arial"/>
                <w:sz w:val="20"/>
                <w:szCs w:val="20"/>
              </w:rPr>
              <w:t>de los I</w:t>
            </w:r>
            <w:r w:rsidR="00D968AD" w:rsidRPr="008F7668">
              <w:rPr>
                <w:rFonts w:ascii="Arial" w:eastAsia="Times New Roman" w:hAnsi="Arial" w:cs="Arial"/>
                <w:sz w:val="20"/>
                <w:szCs w:val="20"/>
              </w:rPr>
              <w:t>ndicadores de Solidez Financiera corresponde a la</w:t>
            </w:r>
            <w:r w:rsidR="00276296" w:rsidRPr="008F7668">
              <w:rPr>
                <w:rFonts w:ascii="Arial" w:eastAsia="Times New Roman" w:hAnsi="Arial" w:cs="Arial"/>
                <w:sz w:val="20"/>
                <w:szCs w:val="20"/>
              </w:rPr>
              <w:t xml:space="preserve"> diferencia entre ingresos y gastos financieros</w:t>
            </w:r>
            <w:r w:rsidRPr="008F7668">
              <w:rPr>
                <w:rFonts w:ascii="Arial" w:eastAsia="Times New Roman" w:hAnsi="Arial" w:cs="Arial"/>
                <w:sz w:val="20"/>
                <w:szCs w:val="20"/>
              </w:rPr>
              <w:t>.</w:t>
            </w:r>
            <w:r w:rsidRPr="008F7668">
              <w:rPr>
                <w:rStyle w:val="Refdenotaalpie"/>
                <w:rFonts w:ascii="Arial" w:eastAsia="Times New Roman" w:hAnsi="Arial" w:cs="Arial"/>
                <w:sz w:val="20"/>
                <w:szCs w:val="20"/>
              </w:rPr>
              <w:footnoteReference w:id="1"/>
            </w:r>
          </w:p>
          <w:p w:rsidR="002915D4" w:rsidRPr="008F7668" w:rsidRDefault="00D968AD" w:rsidP="002915D4">
            <w:pPr>
              <w:jc w:val="both"/>
              <w:rPr>
                <w:rFonts w:ascii="Arial" w:eastAsia="Times New Roman" w:hAnsi="Arial" w:cs="Arial"/>
                <w:sz w:val="20"/>
                <w:szCs w:val="20"/>
              </w:rPr>
            </w:pPr>
            <w:r w:rsidRPr="008F7668">
              <w:rPr>
                <w:rFonts w:ascii="Arial" w:eastAsia="Times New Roman" w:hAnsi="Arial" w:cs="Arial"/>
                <w:sz w:val="20"/>
                <w:szCs w:val="20"/>
              </w:rPr>
              <w:t xml:space="preserve">Para el caso del Ecuador </w:t>
            </w:r>
            <w:r w:rsidR="00BA301E" w:rsidRPr="008F7668">
              <w:rPr>
                <w:rFonts w:ascii="Arial" w:eastAsia="Times New Roman" w:hAnsi="Arial" w:cs="Arial"/>
                <w:sz w:val="20"/>
                <w:szCs w:val="20"/>
              </w:rPr>
              <w:t>Ingreso Financiero Neto</w:t>
            </w:r>
            <w:r w:rsidR="002915D4" w:rsidRPr="008F7668">
              <w:rPr>
                <w:rFonts w:ascii="Arial" w:eastAsia="Times New Roman" w:hAnsi="Arial" w:cs="Arial"/>
                <w:sz w:val="20"/>
                <w:szCs w:val="20"/>
              </w:rPr>
              <w:t>:</w:t>
            </w:r>
            <w:r w:rsidR="002915D4" w:rsidRPr="008F7668">
              <w:rPr>
                <w:rFonts w:ascii="Arial" w:eastAsia="Times New Roman" w:hAnsi="Arial" w:cs="Arial"/>
                <w:b/>
                <w:sz w:val="20"/>
                <w:szCs w:val="20"/>
              </w:rPr>
              <w:t xml:space="preserve"> </w:t>
            </w:r>
            <w:r w:rsidRPr="008F7668">
              <w:rPr>
                <w:rFonts w:ascii="Arial" w:eastAsia="Times New Roman" w:hAnsi="Arial" w:cs="Arial"/>
                <w:sz w:val="20"/>
                <w:szCs w:val="20"/>
              </w:rPr>
              <w:t>es la</w:t>
            </w:r>
            <w:r w:rsidR="00BA301E" w:rsidRPr="008F7668">
              <w:rPr>
                <w:rFonts w:ascii="Arial" w:eastAsia="Times New Roman" w:hAnsi="Arial" w:cs="Arial"/>
                <w:sz w:val="20"/>
                <w:szCs w:val="20"/>
              </w:rPr>
              <w:t xml:space="preserve"> </w:t>
            </w:r>
            <w:proofErr w:type="spellStart"/>
            <w:r w:rsidR="00BA301E" w:rsidRPr="008F7668">
              <w:rPr>
                <w:rFonts w:ascii="Arial" w:eastAsia="Times New Roman" w:hAnsi="Arial" w:cs="Arial"/>
                <w:sz w:val="20"/>
                <w:szCs w:val="20"/>
              </w:rPr>
              <w:t>la</w:t>
            </w:r>
            <w:proofErr w:type="spellEnd"/>
            <w:r w:rsidR="00BA301E" w:rsidRPr="008F7668">
              <w:rPr>
                <w:rFonts w:ascii="Arial" w:eastAsia="Times New Roman" w:hAnsi="Arial" w:cs="Arial"/>
                <w:sz w:val="20"/>
                <w:szCs w:val="20"/>
              </w:rPr>
              <w:t xml:space="preserve"> </w:t>
            </w:r>
            <w:r w:rsidR="002915D4" w:rsidRPr="008F7668">
              <w:rPr>
                <w:rFonts w:ascii="Arial" w:eastAsia="Times New Roman" w:hAnsi="Arial" w:cs="Arial"/>
                <w:sz w:val="20"/>
                <w:szCs w:val="20"/>
              </w:rPr>
              <w:t xml:space="preserve">Diferencia entre los </w:t>
            </w:r>
            <w:r w:rsidRPr="008F7668">
              <w:rPr>
                <w:rFonts w:ascii="Arial" w:eastAsia="Times New Roman" w:hAnsi="Arial" w:cs="Arial"/>
                <w:sz w:val="20"/>
                <w:szCs w:val="20"/>
              </w:rPr>
              <w:t>“</w:t>
            </w:r>
            <w:r w:rsidR="002915D4" w:rsidRPr="008F7668">
              <w:rPr>
                <w:rFonts w:ascii="Arial" w:eastAsia="Times New Roman" w:hAnsi="Arial" w:cs="Arial"/>
                <w:sz w:val="20"/>
                <w:szCs w:val="20"/>
              </w:rPr>
              <w:t>intereses</w:t>
            </w:r>
            <w:r w:rsidR="00BA301E" w:rsidRPr="008F7668">
              <w:rPr>
                <w:rFonts w:ascii="Arial" w:eastAsia="Times New Roman" w:hAnsi="Arial" w:cs="Arial"/>
                <w:sz w:val="20"/>
                <w:szCs w:val="20"/>
              </w:rPr>
              <w:t xml:space="preserve"> y descuent</w:t>
            </w:r>
            <w:r w:rsidRPr="008F7668">
              <w:rPr>
                <w:rFonts w:ascii="Arial" w:eastAsia="Times New Roman" w:hAnsi="Arial" w:cs="Arial"/>
                <w:sz w:val="20"/>
                <w:szCs w:val="20"/>
              </w:rPr>
              <w:t>os ganados” e “Intereses causados” grupos de cuentas 51 – 41</w:t>
            </w:r>
            <w:r w:rsidRPr="008F7668">
              <w:rPr>
                <w:rStyle w:val="Refdenotaalpie"/>
                <w:rFonts w:ascii="Arial" w:eastAsia="Times New Roman" w:hAnsi="Arial" w:cs="Arial"/>
                <w:sz w:val="20"/>
                <w:szCs w:val="20"/>
              </w:rPr>
              <w:footnoteReference w:id="2"/>
            </w:r>
            <w:r w:rsidRPr="008F7668">
              <w:rPr>
                <w:rFonts w:ascii="Arial" w:eastAsia="Times New Roman" w:hAnsi="Arial" w:cs="Arial"/>
                <w:sz w:val="20"/>
                <w:szCs w:val="20"/>
              </w:rPr>
              <w:t>.</w:t>
            </w:r>
          </w:p>
          <w:p w:rsidR="00E306CA" w:rsidRPr="008F7668" w:rsidRDefault="00276296" w:rsidP="003F1D46">
            <w:pPr>
              <w:pStyle w:val="Prrafodelista"/>
              <w:numPr>
                <w:ilvl w:val="0"/>
                <w:numId w:val="32"/>
              </w:numPr>
              <w:autoSpaceDE w:val="0"/>
              <w:autoSpaceDN w:val="0"/>
              <w:adjustRightInd w:val="0"/>
              <w:spacing w:after="0" w:line="240" w:lineRule="auto"/>
              <w:jc w:val="both"/>
              <w:rPr>
                <w:rFonts w:ascii="Arial" w:hAnsi="Arial" w:cs="Arial"/>
                <w:iCs/>
                <w:color w:val="000000"/>
                <w:sz w:val="20"/>
                <w:szCs w:val="20"/>
                <w:lang w:eastAsia="en-US"/>
              </w:rPr>
            </w:pPr>
            <w:r w:rsidRPr="008F7668">
              <w:rPr>
                <w:rFonts w:ascii="Arial" w:hAnsi="Arial" w:cs="Arial"/>
                <w:b/>
                <w:sz w:val="20"/>
                <w:szCs w:val="20"/>
              </w:rPr>
              <w:t>Ingresos Financieros:</w:t>
            </w:r>
            <w:r w:rsidRPr="008F7668">
              <w:rPr>
                <w:rFonts w:ascii="Arial" w:hAnsi="Arial" w:cs="Arial"/>
                <w:i/>
                <w:sz w:val="20"/>
                <w:szCs w:val="20"/>
              </w:rPr>
              <w:t xml:space="preserve"> En el caso de las instituciones de depósito, la fuente principal de ingresos y gastos son los intereses. El </w:t>
            </w:r>
            <w:r w:rsidRPr="008F7668">
              <w:rPr>
                <w:rFonts w:ascii="Arial" w:hAnsi="Arial" w:cs="Arial"/>
                <w:i/>
                <w:iCs/>
                <w:sz w:val="20"/>
                <w:szCs w:val="20"/>
              </w:rPr>
              <w:t xml:space="preserve">ingreso financiero </w:t>
            </w:r>
            <w:r w:rsidRPr="008F7668">
              <w:rPr>
                <w:rFonts w:ascii="Arial" w:hAnsi="Arial" w:cs="Arial"/>
                <w:i/>
                <w:sz w:val="20"/>
                <w:szCs w:val="20"/>
              </w:rPr>
              <w:t>es una forma de ingreso que se devenga sobre instrumentos de deuda tales como depósitos, préstamos, títulos de deuda y otras cuentas por cobrar.</w:t>
            </w:r>
            <w:r w:rsidR="00646EF7" w:rsidRPr="008F7668">
              <w:rPr>
                <w:rFonts w:ascii="Arial" w:hAnsi="Arial" w:cs="Arial"/>
                <w:i/>
                <w:sz w:val="20"/>
                <w:szCs w:val="20"/>
              </w:rPr>
              <w:t xml:space="preserve"> (</w:t>
            </w:r>
            <w:r w:rsidR="00646EF7" w:rsidRPr="008F7668">
              <w:rPr>
                <w:rFonts w:ascii="Arial" w:hAnsi="Arial" w:cs="Arial"/>
                <w:iCs/>
                <w:color w:val="000000"/>
                <w:sz w:val="20"/>
                <w:szCs w:val="20"/>
                <w:lang w:eastAsia="en-US"/>
              </w:rPr>
              <w:t>Indicadores de solidez financiera: Guía de compilación—Washington, D.C.: Fondo Monetario Internacional, 2006)</w:t>
            </w:r>
          </w:p>
          <w:p w:rsidR="00E306CA" w:rsidRPr="008F7668" w:rsidRDefault="00E306CA" w:rsidP="00E306CA">
            <w:pPr>
              <w:pStyle w:val="Prrafodelista"/>
              <w:autoSpaceDE w:val="0"/>
              <w:autoSpaceDN w:val="0"/>
              <w:adjustRightInd w:val="0"/>
              <w:spacing w:after="0" w:line="240" w:lineRule="auto"/>
              <w:ind w:left="360"/>
              <w:jc w:val="both"/>
              <w:rPr>
                <w:rFonts w:ascii="Arial" w:eastAsia="Times New Roman" w:hAnsi="Arial" w:cs="Arial"/>
                <w:sz w:val="20"/>
                <w:szCs w:val="20"/>
              </w:rPr>
            </w:pPr>
          </w:p>
          <w:p w:rsidR="00121512" w:rsidRPr="008F7668" w:rsidRDefault="00121512" w:rsidP="00E306CA">
            <w:pPr>
              <w:pStyle w:val="Prrafodelista"/>
              <w:autoSpaceDE w:val="0"/>
              <w:autoSpaceDN w:val="0"/>
              <w:adjustRightInd w:val="0"/>
              <w:spacing w:after="0" w:line="240" w:lineRule="auto"/>
              <w:ind w:left="360"/>
              <w:jc w:val="both"/>
              <w:rPr>
                <w:rFonts w:ascii="Arial" w:hAnsi="Arial" w:cs="Arial"/>
                <w:iCs/>
                <w:color w:val="000000"/>
                <w:sz w:val="20"/>
                <w:szCs w:val="20"/>
                <w:lang w:eastAsia="en-US"/>
              </w:rPr>
            </w:pPr>
            <w:r w:rsidRPr="008F7668">
              <w:rPr>
                <w:rFonts w:ascii="Arial" w:eastAsia="Times New Roman" w:hAnsi="Arial" w:cs="Arial"/>
                <w:sz w:val="20"/>
                <w:szCs w:val="20"/>
              </w:rPr>
              <w:t xml:space="preserve">La Guía recomienda no  incluir los ingresos financieros de activos improductivos, éstos deben registrarse por el principio de caja y no por el principio del </w:t>
            </w:r>
            <w:proofErr w:type="spellStart"/>
            <w:r w:rsidRPr="008F7668">
              <w:rPr>
                <w:rFonts w:ascii="Arial" w:eastAsia="Times New Roman" w:hAnsi="Arial" w:cs="Arial"/>
                <w:sz w:val="20"/>
                <w:szCs w:val="20"/>
              </w:rPr>
              <w:t>devengado.En</w:t>
            </w:r>
            <w:proofErr w:type="spellEnd"/>
            <w:r w:rsidRPr="008F7668">
              <w:rPr>
                <w:rFonts w:ascii="Arial" w:eastAsia="Times New Roman" w:hAnsi="Arial" w:cs="Arial"/>
                <w:sz w:val="20"/>
                <w:szCs w:val="20"/>
              </w:rPr>
              <w:t xml:space="preserve"> el caso del Ecuador los ingresos financieros registrados pero no cobrados se reversan. </w:t>
            </w:r>
          </w:p>
          <w:p w:rsidR="003F1D46" w:rsidRPr="008F7668" w:rsidRDefault="003F1D46" w:rsidP="00276296">
            <w:pPr>
              <w:autoSpaceDE w:val="0"/>
              <w:autoSpaceDN w:val="0"/>
              <w:adjustRightInd w:val="0"/>
              <w:spacing w:after="0" w:line="240" w:lineRule="auto"/>
              <w:rPr>
                <w:rFonts w:ascii="Arial" w:eastAsia="Times New Roman" w:hAnsi="Arial" w:cs="Arial"/>
                <w:sz w:val="20"/>
                <w:szCs w:val="20"/>
              </w:rPr>
            </w:pPr>
          </w:p>
          <w:p w:rsidR="00E306CA" w:rsidRPr="008F7668" w:rsidRDefault="002915D4" w:rsidP="00AF0A6D">
            <w:pPr>
              <w:pStyle w:val="Prrafodelista"/>
              <w:numPr>
                <w:ilvl w:val="0"/>
                <w:numId w:val="32"/>
              </w:numPr>
              <w:autoSpaceDE w:val="0"/>
              <w:autoSpaceDN w:val="0"/>
              <w:adjustRightInd w:val="0"/>
              <w:spacing w:after="0" w:line="240" w:lineRule="auto"/>
              <w:jc w:val="both"/>
              <w:rPr>
                <w:rFonts w:ascii="Arial" w:hAnsi="Arial" w:cs="Arial"/>
                <w:iCs/>
                <w:color w:val="000000"/>
                <w:sz w:val="20"/>
                <w:szCs w:val="20"/>
                <w:lang w:eastAsia="en-US"/>
              </w:rPr>
            </w:pPr>
            <w:r w:rsidRPr="008F7668">
              <w:rPr>
                <w:rFonts w:ascii="Arial" w:eastAsia="Times New Roman" w:hAnsi="Arial" w:cs="Arial"/>
                <w:b/>
                <w:sz w:val="20"/>
                <w:szCs w:val="20"/>
              </w:rPr>
              <w:t>Ingreso Bruto</w:t>
            </w:r>
            <w:r w:rsidR="001B53D0" w:rsidRPr="008F7668">
              <w:rPr>
                <w:rFonts w:ascii="Arial" w:eastAsia="Times New Roman" w:hAnsi="Arial" w:cs="Arial"/>
                <w:b/>
                <w:sz w:val="20"/>
                <w:szCs w:val="20"/>
              </w:rPr>
              <w:t>.-</w:t>
            </w:r>
            <w:r w:rsidR="00AF0A6D" w:rsidRPr="008F7668">
              <w:rPr>
                <w:rFonts w:ascii="Arial" w:eastAsia="Times New Roman" w:hAnsi="Arial" w:cs="Arial"/>
                <w:b/>
                <w:sz w:val="20"/>
                <w:szCs w:val="20"/>
              </w:rPr>
              <w:t xml:space="preserve"> </w:t>
            </w:r>
            <w:r w:rsidR="003F1D46" w:rsidRPr="008F7668">
              <w:rPr>
                <w:rFonts w:ascii="Arial" w:eastAsia="Times New Roman" w:hAnsi="Arial" w:cs="Arial"/>
                <w:sz w:val="20"/>
                <w:szCs w:val="20"/>
              </w:rPr>
              <w:t>Conforme con la G</w:t>
            </w:r>
            <w:r w:rsidR="00AF0A6D" w:rsidRPr="008F7668">
              <w:rPr>
                <w:rFonts w:ascii="Arial" w:eastAsia="Times New Roman" w:hAnsi="Arial" w:cs="Arial"/>
                <w:sz w:val="20"/>
                <w:szCs w:val="20"/>
              </w:rPr>
              <w:t>uía de los Indicadores de Solidez Financiera del FMI corresponde a los ingresos financiero y no financieros.</w:t>
            </w:r>
            <w:r w:rsidR="00AF0A6D" w:rsidRPr="008F7668">
              <w:rPr>
                <w:rStyle w:val="Refdenotaalpie"/>
                <w:rFonts w:ascii="Arial" w:eastAsia="Times New Roman" w:hAnsi="Arial" w:cs="Arial"/>
                <w:sz w:val="20"/>
                <w:szCs w:val="20"/>
              </w:rPr>
              <w:footnoteReference w:id="3"/>
            </w:r>
            <w:r w:rsidR="00E306CA" w:rsidRPr="008F7668">
              <w:rPr>
                <w:rFonts w:ascii="Arial" w:eastAsia="Times New Roman" w:hAnsi="Arial" w:cs="Arial"/>
                <w:sz w:val="20"/>
                <w:szCs w:val="20"/>
              </w:rPr>
              <w:t xml:space="preserve"> (</w:t>
            </w:r>
            <w:r w:rsidR="00E306CA" w:rsidRPr="008F7668">
              <w:rPr>
                <w:rFonts w:ascii="Arial" w:hAnsi="Arial" w:cs="Arial"/>
                <w:iCs/>
                <w:color w:val="000000"/>
                <w:sz w:val="20"/>
                <w:szCs w:val="20"/>
                <w:lang w:eastAsia="en-US"/>
              </w:rPr>
              <w:t>Indicadores de solidez financiera: Guía de compilación—Washington, D.C.: Fondo Monetario Internacional, 2006)</w:t>
            </w:r>
          </w:p>
          <w:p w:rsidR="00E306CA" w:rsidRPr="008F7668" w:rsidRDefault="00E306CA" w:rsidP="00E306CA">
            <w:pPr>
              <w:pStyle w:val="Prrafodelista"/>
              <w:autoSpaceDE w:val="0"/>
              <w:autoSpaceDN w:val="0"/>
              <w:adjustRightInd w:val="0"/>
              <w:spacing w:after="0" w:line="240" w:lineRule="auto"/>
              <w:ind w:left="360"/>
              <w:jc w:val="both"/>
              <w:rPr>
                <w:rFonts w:ascii="Arial" w:eastAsia="Times New Roman" w:hAnsi="Arial" w:cs="Arial"/>
                <w:b/>
                <w:sz w:val="20"/>
                <w:szCs w:val="20"/>
              </w:rPr>
            </w:pPr>
          </w:p>
          <w:p w:rsidR="001B53D0" w:rsidRDefault="00AF0A6D" w:rsidP="00E306CA">
            <w:pPr>
              <w:pStyle w:val="Prrafodelista"/>
              <w:autoSpaceDE w:val="0"/>
              <w:autoSpaceDN w:val="0"/>
              <w:adjustRightInd w:val="0"/>
              <w:spacing w:after="0" w:line="240" w:lineRule="auto"/>
              <w:ind w:left="360"/>
              <w:jc w:val="both"/>
              <w:rPr>
                <w:rFonts w:ascii="Arial" w:eastAsia="Times New Roman" w:hAnsi="Arial" w:cs="Arial"/>
                <w:sz w:val="20"/>
                <w:szCs w:val="20"/>
              </w:rPr>
            </w:pPr>
            <w:r w:rsidRPr="008F7668">
              <w:rPr>
                <w:rFonts w:ascii="Arial" w:eastAsia="Times New Roman" w:hAnsi="Arial" w:cs="Arial"/>
                <w:sz w:val="20"/>
                <w:szCs w:val="20"/>
              </w:rPr>
              <w:t>Para el Caso del Ecuador el Ingreso Bruto de los ISF el</w:t>
            </w:r>
            <w:r w:rsidR="001B53D0" w:rsidRPr="008F7668">
              <w:rPr>
                <w:rFonts w:ascii="Arial" w:eastAsia="Times New Roman" w:hAnsi="Arial" w:cs="Arial"/>
                <w:sz w:val="20"/>
                <w:szCs w:val="20"/>
              </w:rPr>
              <w:t xml:space="preserve"> </w:t>
            </w:r>
            <w:r w:rsidR="002915D4" w:rsidRPr="008F7668">
              <w:rPr>
                <w:rFonts w:ascii="Arial" w:eastAsia="Times New Roman" w:hAnsi="Arial" w:cs="Arial"/>
                <w:sz w:val="20"/>
                <w:szCs w:val="20"/>
              </w:rPr>
              <w:t xml:space="preserve">Total Ingresos </w:t>
            </w:r>
            <w:r w:rsidRPr="008F7668">
              <w:rPr>
                <w:rFonts w:ascii="Arial" w:eastAsia="Times New Roman" w:hAnsi="Arial" w:cs="Arial"/>
                <w:sz w:val="20"/>
                <w:szCs w:val="20"/>
              </w:rPr>
              <w:t>es el</w:t>
            </w:r>
            <w:r w:rsidR="002915D4" w:rsidRPr="008F7668">
              <w:rPr>
                <w:rFonts w:ascii="Arial" w:eastAsia="Times New Roman" w:hAnsi="Arial" w:cs="Arial"/>
                <w:sz w:val="20"/>
                <w:szCs w:val="20"/>
              </w:rPr>
              <w:t xml:space="preserve"> elemento 5 “Ingresos”</w:t>
            </w:r>
            <w:r w:rsidRPr="008F7668">
              <w:rPr>
                <w:rFonts w:ascii="Arial" w:eastAsia="Times New Roman" w:hAnsi="Arial" w:cs="Arial"/>
                <w:sz w:val="20"/>
                <w:szCs w:val="20"/>
              </w:rPr>
              <w:t xml:space="preserve"> del Catálogo Único de Cuentas para instituciones financieras</w:t>
            </w:r>
            <w:r w:rsidR="002915D4" w:rsidRPr="008F7668">
              <w:rPr>
                <w:rFonts w:ascii="Arial" w:eastAsia="Times New Roman" w:hAnsi="Arial" w:cs="Arial"/>
                <w:sz w:val="20"/>
                <w:szCs w:val="20"/>
              </w:rPr>
              <w:t>.</w:t>
            </w:r>
          </w:p>
          <w:p w:rsidR="008F7668" w:rsidRPr="008F7668" w:rsidRDefault="008F7668" w:rsidP="00E306CA">
            <w:pPr>
              <w:pStyle w:val="Prrafodelista"/>
              <w:autoSpaceDE w:val="0"/>
              <w:autoSpaceDN w:val="0"/>
              <w:adjustRightInd w:val="0"/>
              <w:spacing w:after="0" w:line="240" w:lineRule="auto"/>
              <w:ind w:left="360"/>
              <w:jc w:val="both"/>
              <w:rPr>
                <w:rFonts w:ascii="Arial" w:hAnsi="Arial" w:cs="Arial"/>
                <w:iCs/>
                <w:color w:val="000000"/>
                <w:sz w:val="20"/>
                <w:szCs w:val="20"/>
                <w:lang w:eastAsia="en-US"/>
              </w:rPr>
            </w:pPr>
          </w:p>
        </w:tc>
      </w:tr>
      <w:tr w:rsidR="004E7BA5" w:rsidRPr="008F7668" w:rsidTr="004A0DC0">
        <w:trPr>
          <w:trHeight w:val="513"/>
          <w:tblCellSpacing w:w="20" w:type="dxa"/>
        </w:trPr>
        <w:tc>
          <w:tcPr>
            <w:tcW w:w="4959" w:type="pct"/>
            <w:gridSpan w:val="5"/>
            <w:shd w:val="clear" w:color="auto" w:fill="C6D9F1"/>
            <w:vAlign w:val="center"/>
            <w:hideMark/>
          </w:tcPr>
          <w:p w:rsidR="004E7BA5" w:rsidRPr="008F7668" w:rsidRDefault="004E7BA5" w:rsidP="00004233">
            <w:pPr>
              <w:jc w:val="center"/>
              <w:rPr>
                <w:rFonts w:ascii="Arial" w:eastAsia="Times New Roman" w:hAnsi="Arial" w:cs="Arial"/>
                <w:b/>
                <w:bCs/>
                <w:sz w:val="20"/>
                <w:szCs w:val="20"/>
              </w:rPr>
            </w:pPr>
            <w:r w:rsidRPr="008F7668">
              <w:rPr>
                <w:rFonts w:ascii="Arial" w:eastAsia="Times New Roman" w:hAnsi="Arial" w:cs="Arial"/>
                <w:b/>
                <w:bCs/>
                <w:sz w:val="20"/>
                <w:szCs w:val="20"/>
              </w:rPr>
              <w:t>METODOLOGÍA DE CÁLCULO</w:t>
            </w:r>
          </w:p>
        </w:tc>
      </w:tr>
      <w:tr w:rsidR="004E7BA5" w:rsidRPr="008F7668" w:rsidTr="004A0DC0">
        <w:trPr>
          <w:trHeight w:val="513"/>
          <w:tblCellSpacing w:w="20" w:type="dxa"/>
        </w:trPr>
        <w:tc>
          <w:tcPr>
            <w:tcW w:w="4959" w:type="pct"/>
            <w:gridSpan w:val="5"/>
            <w:tcBorders>
              <w:top w:val="outset" w:sz="6" w:space="0" w:color="auto"/>
              <w:bottom w:val="outset" w:sz="6" w:space="0" w:color="auto"/>
            </w:tcBorders>
            <w:shd w:val="clear" w:color="auto" w:fill="FFFFFF"/>
            <w:vAlign w:val="center"/>
            <w:hideMark/>
          </w:tcPr>
          <w:p w:rsidR="007A78E9" w:rsidRPr="008F7668" w:rsidRDefault="007A78E9" w:rsidP="00BD5B98">
            <w:pPr>
              <w:autoSpaceDE w:val="0"/>
              <w:autoSpaceDN w:val="0"/>
              <w:adjustRightInd w:val="0"/>
              <w:spacing w:after="0" w:line="240" w:lineRule="auto"/>
              <w:jc w:val="both"/>
              <w:rPr>
                <w:rFonts w:ascii="Arial" w:hAnsi="Arial" w:cs="Arial"/>
                <w:sz w:val="20"/>
                <w:szCs w:val="20"/>
              </w:rPr>
            </w:pPr>
          </w:p>
          <w:p w:rsidR="002915D4" w:rsidRPr="008F7668" w:rsidRDefault="004A6C98" w:rsidP="00BA301E">
            <w:pPr>
              <w:autoSpaceDE w:val="0"/>
              <w:autoSpaceDN w:val="0"/>
              <w:adjustRightInd w:val="0"/>
              <w:spacing w:after="0" w:line="240" w:lineRule="auto"/>
              <w:jc w:val="both"/>
              <w:rPr>
                <w:rFonts w:ascii="Arial" w:hAnsi="Arial" w:cs="Arial"/>
                <w:sz w:val="20"/>
                <w:szCs w:val="20"/>
              </w:rPr>
            </w:pPr>
            <w:r w:rsidRPr="008F7668">
              <w:rPr>
                <w:rFonts w:ascii="Arial" w:hAnsi="Arial" w:cs="Arial"/>
                <w:sz w:val="20"/>
                <w:szCs w:val="20"/>
              </w:rPr>
              <w:t>a) agregando datos de</w:t>
            </w:r>
            <w:r w:rsidR="00BA301E" w:rsidRPr="008F7668">
              <w:rPr>
                <w:rFonts w:ascii="Arial" w:hAnsi="Arial" w:cs="Arial"/>
                <w:sz w:val="20"/>
                <w:szCs w:val="20"/>
              </w:rPr>
              <w:t>l Ingreso</w:t>
            </w:r>
            <w:r w:rsidR="002915D4" w:rsidRPr="008F7668">
              <w:rPr>
                <w:rFonts w:ascii="Arial" w:hAnsi="Arial" w:cs="Arial"/>
                <w:sz w:val="20"/>
                <w:szCs w:val="20"/>
              </w:rPr>
              <w:t xml:space="preserve"> financiero </w:t>
            </w:r>
            <w:r w:rsidR="00BA301E" w:rsidRPr="008F7668">
              <w:rPr>
                <w:rFonts w:ascii="Arial" w:hAnsi="Arial" w:cs="Arial"/>
                <w:sz w:val="20"/>
                <w:szCs w:val="20"/>
              </w:rPr>
              <w:t>neto</w:t>
            </w:r>
            <w:r w:rsidR="00276296" w:rsidRPr="008F7668">
              <w:rPr>
                <w:rFonts w:ascii="Arial" w:hAnsi="Arial" w:cs="Arial"/>
                <w:sz w:val="20"/>
                <w:szCs w:val="20"/>
              </w:rPr>
              <w:t xml:space="preserve"> de las entidades que integran la base de agregación.</w:t>
            </w:r>
          </w:p>
          <w:p w:rsidR="00276296" w:rsidRPr="008F7668" w:rsidRDefault="00276296" w:rsidP="00BA301E">
            <w:pPr>
              <w:autoSpaceDE w:val="0"/>
              <w:autoSpaceDN w:val="0"/>
              <w:adjustRightInd w:val="0"/>
              <w:spacing w:after="0" w:line="240" w:lineRule="auto"/>
              <w:jc w:val="both"/>
              <w:rPr>
                <w:rFonts w:ascii="Arial" w:hAnsi="Arial" w:cs="Arial"/>
                <w:sz w:val="20"/>
                <w:szCs w:val="20"/>
              </w:rPr>
            </w:pPr>
            <w:r w:rsidRPr="008F7668">
              <w:rPr>
                <w:rFonts w:ascii="Arial" w:hAnsi="Arial" w:cs="Arial"/>
                <w:sz w:val="20"/>
                <w:szCs w:val="20"/>
              </w:rPr>
              <w:t>+51 - 41</w:t>
            </w:r>
          </w:p>
          <w:p w:rsidR="00B3511E" w:rsidRPr="008F7668" w:rsidRDefault="00B3511E" w:rsidP="00BD5B98">
            <w:pPr>
              <w:autoSpaceDE w:val="0"/>
              <w:autoSpaceDN w:val="0"/>
              <w:adjustRightInd w:val="0"/>
              <w:spacing w:after="0" w:line="240" w:lineRule="auto"/>
              <w:jc w:val="both"/>
              <w:rPr>
                <w:rFonts w:ascii="Arial" w:hAnsi="Arial" w:cs="Arial"/>
                <w:sz w:val="20"/>
                <w:szCs w:val="20"/>
              </w:rPr>
            </w:pPr>
          </w:p>
          <w:p w:rsidR="00D732F6" w:rsidRPr="008F7668" w:rsidRDefault="00B174D2" w:rsidP="002915D4">
            <w:pPr>
              <w:autoSpaceDE w:val="0"/>
              <w:autoSpaceDN w:val="0"/>
              <w:adjustRightInd w:val="0"/>
              <w:spacing w:after="0" w:line="240" w:lineRule="auto"/>
              <w:jc w:val="both"/>
              <w:rPr>
                <w:rFonts w:ascii="Arial" w:hAnsi="Arial" w:cs="Arial"/>
                <w:sz w:val="20"/>
                <w:szCs w:val="20"/>
              </w:rPr>
            </w:pPr>
            <w:r w:rsidRPr="008F7668">
              <w:rPr>
                <w:rFonts w:ascii="Arial" w:hAnsi="Arial" w:cs="Arial"/>
                <w:sz w:val="20"/>
                <w:szCs w:val="20"/>
              </w:rPr>
              <w:lastRenderedPageBreak/>
              <w:t>b) agregando los datos de</w:t>
            </w:r>
            <w:r w:rsidR="002915D4" w:rsidRPr="008F7668">
              <w:rPr>
                <w:rFonts w:ascii="Arial" w:hAnsi="Arial" w:cs="Arial"/>
                <w:sz w:val="20"/>
                <w:szCs w:val="20"/>
              </w:rPr>
              <w:t xml:space="preserve"> </w:t>
            </w:r>
            <w:r w:rsidRPr="008F7668">
              <w:rPr>
                <w:rFonts w:ascii="Arial" w:hAnsi="Arial" w:cs="Arial"/>
                <w:sz w:val="20"/>
                <w:szCs w:val="20"/>
              </w:rPr>
              <w:t>l</w:t>
            </w:r>
            <w:r w:rsidR="002915D4" w:rsidRPr="008F7668">
              <w:rPr>
                <w:rFonts w:ascii="Arial" w:hAnsi="Arial" w:cs="Arial"/>
                <w:sz w:val="20"/>
                <w:szCs w:val="20"/>
              </w:rPr>
              <w:t>os ingresos totales elemento 5</w:t>
            </w:r>
            <w:r w:rsidR="00276296" w:rsidRPr="008F7668">
              <w:rPr>
                <w:rFonts w:ascii="Arial" w:hAnsi="Arial" w:cs="Arial"/>
                <w:sz w:val="20"/>
                <w:szCs w:val="20"/>
              </w:rPr>
              <w:t xml:space="preserve"> de las entidades que integran la base de agregación.</w:t>
            </w:r>
          </w:p>
          <w:p w:rsidR="00B3511E" w:rsidRPr="008F7668" w:rsidRDefault="00B3511E" w:rsidP="00BD5B98">
            <w:pPr>
              <w:autoSpaceDE w:val="0"/>
              <w:autoSpaceDN w:val="0"/>
              <w:adjustRightInd w:val="0"/>
              <w:spacing w:after="0" w:line="240" w:lineRule="auto"/>
              <w:jc w:val="both"/>
              <w:rPr>
                <w:rFonts w:ascii="Arial" w:hAnsi="Arial" w:cs="Arial"/>
                <w:sz w:val="20"/>
                <w:szCs w:val="20"/>
              </w:rPr>
            </w:pPr>
          </w:p>
          <w:p w:rsidR="00B3511E" w:rsidRPr="008F7668" w:rsidRDefault="00B3511E" w:rsidP="00BD5B98">
            <w:pPr>
              <w:autoSpaceDE w:val="0"/>
              <w:autoSpaceDN w:val="0"/>
              <w:adjustRightInd w:val="0"/>
              <w:spacing w:after="0" w:line="240" w:lineRule="auto"/>
              <w:jc w:val="both"/>
              <w:rPr>
                <w:rFonts w:ascii="Arial" w:hAnsi="Arial" w:cs="Arial"/>
                <w:sz w:val="20"/>
                <w:szCs w:val="20"/>
              </w:rPr>
            </w:pPr>
            <w:r w:rsidRPr="008F7668">
              <w:rPr>
                <w:rFonts w:ascii="Arial" w:hAnsi="Arial" w:cs="Arial"/>
                <w:sz w:val="20"/>
                <w:szCs w:val="20"/>
              </w:rPr>
              <w:t xml:space="preserve">c) se obtiene la relación dividiendo a) entre b) </w:t>
            </w:r>
          </w:p>
        </w:tc>
      </w:tr>
      <w:tr w:rsidR="004E7BA5" w:rsidRPr="008F7668" w:rsidTr="003A2829">
        <w:trPr>
          <w:trHeight w:val="677"/>
          <w:tblCellSpacing w:w="20" w:type="dxa"/>
        </w:trPr>
        <w:tc>
          <w:tcPr>
            <w:tcW w:w="4959" w:type="pct"/>
            <w:gridSpan w:val="5"/>
            <w:shd w:val="clear" w:color="auto" w:fill="C6D9F1"/>
            <w:vAlign w:val="center"/>
          </w:tcPr>
          <w:p w:rsidR="004E7BA5" w:rsidRPr="008F7668" w:rsidRDefault="004E7BA5" w:rsidP="003A2829">
            <w:pPr>
              <w:jc w:val="center"/>
              <w:rPr>
                <w:rFonts w:ascii="Arial" w:eastAsia="Times New Roman" w:hAnsi="Arial" w:cs="Arial"/>
                <w:sz w:val="20"/>
                <w:szCs w:val="20"/>
              </w:rPr>
            </w:pPr>
            <w:r w:rsidRPr="008F7668">
              <w:rPr>
                <w:rFonts w:ascii="Arial" w:eastAsia="Times New Roman" w:hAnsi="Arial" w:cs="Arial"/>
                <w:b/>
                <w:bCs/>
                <w:sz w:val="20"/>
                <w:szCs w:val="20"/>
              </w:rPr>
              <w:lastRenderedPageBreak/>
              <w:t>LIMITACIONES TÉCNICAS</w:t>
            </w:r>
          </w:p>
        </w:tc>
      </w:tr>
      <w:tr w:rsidR="004E7BA5" w:rsidRPr="008F7668" w:rsidTr="003A2829">
        <w:trPr>
          <w:trHeight w:val="677"/>
          <w:tblCellSpacing w:w="20" w:type="dxa"/>
        </w:trPr>
        <w:tc>
          <w:tcPr>
            <w:tcW w:w="4959" w:type="pct"/>
            <w:gridSpan w:val="5"/>
            <w:shd w:val="clear" w:color="auto" w:fill="auto"/>
            <w:vAlign w:val="center"/>
            <w:hideMark/>
          </w:tcPr>
          <w:p w:rsidR="00B477DA" w:rsidRPr="008F7668" w:rsidRDefault="00F60D80" w:rsidP="00B477DA">
            <w:pPr>
              <w:jc w:val="both"/>
              <w:rPr>
                <w:rFonts w:ascii="Arial" w:hAnsi="Arial" w:cs="Arial"/>
                <w:sz w:val="20"/>
                <w:szCs w:val="20"/>
                <w:lang w:val="es-ES_tradnl"/>
              </w:rPr>
            </w:pPr>
            <w:r w:rsidRPr="008F7668">
              <w:rPr>
                <w:rFonts w:ascii="Arial" w:hAnsi="Arial" w:cs="Arial"/>
                <w:sz w:val="20"/>
                <w:szCs w:val="20"/>
                <w:lang w:val="es-ES_tradnl"/>
              </w:rPr>
              <w:t>L</w:t>
            </w:r>
            <w:r w:rsidR="00D732F6" w:rsidRPr="008F7668">
              <w:rPr>
                <w:rFonts w:ascii="Arial" w:hAnsi="Arial" w:cs="Arial"/>
                <w:sz w:val="20"/>
                <w:szCs w:val="20"/>
                <w:lang w:val="es-ES_tradnl"/>
              </w:rPr>
              <w:t xml:space="preserve">os códigos contables </w:t>
            </w:r>
            <w:r w:rsidRPr="008F7668">
              <w:rPr>
                <w:rFonts w:ascii="Arial" w:hAnsi="Arial" w:cs="Arial"/>
                <w:sz w:val="20"/>
                <w:szCs w:val="20"/>
                <w:lang w:val="es-ES_tradnl"/>
              </w:rPr>
              <w:t>corresponde</w:t>
            </w:r>
            <w:r w:rsidR="00D732F6" w:rsidRPr="008F7668">
              <w:rPr>
                <w:rFonts w:ascii="Arial" w:hAnsi="Arial" w:cs="Arial"/>
                <w:sz w:val="20"/>
                <w:szCs w:val="20"/>
                <w:lang w:val="es-ES_tradnl"/>
              </w:rPr>
              <w:t>n</w:t>
            </w:r>
            <w:r w:rsidRPr="008F7668">
              <w:rPr>
                <w:rFonts w:ascii="Arial" w:hAnsi="Arial" w:cs="Arial"/>
                <w:sz w:val="20"/>
                <w:szCs w:val="20"/>
                <w:lang w:val="es-ES_tradnl"/>
              </w:rPr>
              <w:t xml:space="preserve"> el CUC vigente a partir de agosto de 2015</w:t>
            </w:r>
            <w:r w:rsidR="00D968AD" w:rsidRPr="008F7668">
              <w:rPr>
                <w:rFonts w:ascii="Arial" w:hAnsi="Arial" w:cs="Arial"/>
                <w:sz w:val="20"/>
                <w:szCs w:val="20"/>
                <w:lang w:val="es-ES_tradnl"/>
              </w:rPr>
              <w:t xml:space="preserve"> emitido con Resolución SB-2015-220 de 1 de abril de 2015.</w:t>
            </w:r>
          </w:p>
          <w:p w:rsidR="00405B6F" w:rsidRPr="008F7668" w:rsidRDefault="00405B6F" w:rsidP="00405B6F">
            <w:pPr>
              <w:jc w:val="both"/>
              <w:rPr>
                <w:rFonts w:ascii="Arial" w:hAnsi="Arial" w:cs="Arial"/>
                <w:sz w:val="20"/>
                <w:szCs w:val="20"/>
                <w:lang w:val="es-ES_tradnl"/>
              </w:rPr>
            </w:pPr>
            <w:r w:rsidRPr="008F7668">
              <w:rPr>
                <w:rFonts w:ascii="Arial" w:hAnsi="Arial" w:cs="Arial"/>
                <w:sz w:val="20"/>
                <w:szCs w:val="20"/>
                <w:lang w:val="es-ES_tradnl"/>
              </w:rPr>
              <w:t xml:space="preserve">Naciones Unidas dispone que se usen los Indicadores de Solidez para </w:t>
            </w:r>
            <w:r w:rsidR="00AF0A6D" w:rsidRPr="008F7668">
              <w:rPr>
                <w:rFonts w:ascii="Arial" w:hAnsi="Arial" w:cs="Arial"/>
                <w:sz w:val="20"/>
                <w:szCs w:val="20"/>
                <w:lang w:val="es-ES_tradnl"/>
              </w:rPr>
              <w:t>el seguimiento del objetivo 10 meta 10.5 de los Indicadores de Desarrollo Sostenibles ODS,</w:t>
            </w:r>
            <w:r w:rsidRPr="008F7668">
              <w:rPr>
                <w:rFonts w:ascii="Arial" w:hAnsi="Arial" w:cs="Arial"/>
                <w:sz w:val="20"/>
                <w:szCs w:val="20"/>
                <w:lang w:val="es-ES_tradnl"/>
              </w:rPr>
              <w:t xml:space="preserve"> pero no ha especificado </w:t>
            </w:r>
            <w:r w:rsidR="004F6DFF" w:rsidRPr="008F7668">
              <w:rPr>
                <w:rFonts w:ascii="Arial" w:hAnsi="Arial" w:cs="Arial"/>
                <w:sz w:val="20"/>
                <w:szCs w:val="20"/>
                <w:lang w:val="es-ES_tradnl"/>
              </w:rPr>
              <w:t xml:space="preserve">cuales ratios </w:t>
            </w:r>
            <w:r w:rsidR="00AF0A6D" w:rsidRPr="008F7668">
              <w:rPr>
                <w:rFonts w:ascii="Arial" w:hAnsi="Arial" w:cs="Arial"/>
                <w:sz w:val="20"/>
                <w:szCs w:val="20"/>
                <w:lang w:val="es-ES_tradnl"/>
              </w:rPr>
              <w:t xml:space="preserve"> concretos </w:t>
            </w:r>
            <w:r w:rsidRPr="008F7668">
              <w:rPr>
                <w:rFonts w:ascii="Arial" w:hAnsi="Arial" w:cs="Arial"/>
                <w:sz w:val="20"/>
                <w:szCs w:val="20"/>
                <w:lang w:val="es-ES_tradnl"/>
              </w:rPr>
              <w:t xml:space="preserve">deberán utilizarse de las Estadísticas de Solidez para monitorear la meta 10.5, Según correo de </w:t>
            </w:r>
            <w:proofErr w:type="spellStart"/>
            <w:r w:rsidRPr="008F7668">
              <w:rPr>
                <w:rFonts w:ascii="Arial" w:hAnsi="Arial" w:cs="Arial"/>
                <w:sz w:val="20"/>
                <w:szCs w:val="20"/>
                <w:lang w:val="es-ES_tradnl"/>
              </w:rPr>
              <w:t>Benhamin</w:t>
            </w:r>
            <w:proofErr w:type="spellEnd"/>
            <w:r w:rsidRPr="008F7668">
              <w:rPr>
                <w:rFonts w:ascii="Arial" w:hAnsi="Arial" w:cs="Arial"/>
                <w:sz w:val="20"/>
                <w:szCs w:val="20"/>
                <w:lang w:val="es-ES_tradnl"/>
              </w:rPr>
              <w:t xml:space="preserve"> RAE de Naciones Unidas, la Comisión de Expertos de Indicadores ODS (integrada por varias agencias internacionales) está esperando que el FMI determine que indicadores se deben usar para la meta 10.5.</w:t>
            </w:r>
          </w:p>
          <w:p w:rsidR="004F6DFF" w:rsidRDefault="004F6DFF" w:rsidP="00405B6F">
            <w:pPr>
              <w:jc w:val="both"/>
              <w:rPr>
                <w:rFonts w:ascii="Arial" w:hAnsi="Arial" w:cs="Arial"/>
                <w:sz w:val="20"/>
                <w:szCs w:val="20"/>
                <w:lang w:val="es-ES_tradnl"/>
              </w:rPr>
            </w:pPr>
            <w:r w:rsidRPr="008F7668">
              <w:rPr>
                <w:rFonts w:ascii="Arial" w:hAnsi="Arial" w:cs="Arial"/>
                <w:sz w:val="20"/>
                <w:szCs w:val="20"/>
                <w:lang w:val="es-ES_tradnl"/>
              </w:rPr>
              <w:t>Por pedido del INEC la Superintendencia de Bancos seleccion</w:t>
            </w:r>
            <w:r w:rsidR="00AF0A6D" w:rsidRPr="008F7668">
              <w:rPr>
                <w:rFonts w:ascii="Arial" w:hAnsi="Arial" w:cs="Arial"/>
                <w:sz w:val="20"/>
                <w:szCs w:val="20"/>
                <w:lang w:val="es-ES_tradnl"/>
              </w:rPr>
              <w:t>ó 7 ratios</w:t>
            </w:r>
            <w:r w:rsidRPr="008F7668">
              <w:rPr>
                <w:rFonts w:ascii="Arial" w:hAnsi="Arial" w:cs="Arial"/>
                <w:sz w:val="20"/>
                <w:szCs w:val="20"/>
                <w:lang w:val="es-ES_tradnl"/>
              </w:rPr>
              <w:t xml:space="preserve"> de los Indicadores de Solidez Básicos para las Sociedades de Dep</w:t>
            </w:r>
            <w:r w:rsidR="00AF0A6D" w:rsidRPr="008F7668">
              <w:rPr>
                <w:rFonts w:ascii="Arial" w:hAnsi="Arial" w:cs="Arial"/>
                <w:sz w:val="20"/>
                <w:szCs w:val="20"/>
                <w:lang w:val="es-ES_tradnl"/>
              </w:rPr>
              <w:t xml:space="preserve">ósitos, el </w:t>
            </w:r>
            <w:proofErr w:type="spellStart"/>
            <w:r w:rsidR="00AF0A6D" w:rsidRPr="008F7668">
              <w:rPr>
                <w:rFonts w:ascii="Arial" w:hAnsi="Arial" w:cs="Arial"/>
                <w:sz w:val="20"/>
                <w:szCs w:val="20"/>
                <w:lang w:val="es-ES_tradnl"/>
              </w:rPr>
              <w:t>escogitamiento</w:t>
            </w:r>
            <w:proofErr w:type="spellEnd"/>
            <w:r w:rsidRPr="008F7668">
              <w:rPr>
                <w:rFonts w:ascii="Arial" w:hAnsi="Arial" w:cs="Arial"/>
                <w:sz w:val="20"/>
                <w:szCs w:val="20"/>
                <w:lang w:val="es-ES_tradnl"/>
              </w:rPr>
              <w:t xml:space="preserve"> se basó en los artículos 222 y 224 del Código Orgánico Monetaria y Financiero del Ecuador.</w:t>
            </w:r>
          </w:p>
          <w:p w:rsidR="001C3F1C" w:rsidRPr="000346B3" w:rsidRDefault="001C3F1C" w:rsidP="001C3F1C">
            <w:pPr>
              <w:jc w:val="both"/>
              <w:rPr>
                <w:rFonts w:ascii="Arial" w:hAnsi="Arial" w:cs="Arial"/>
                <w:sz w:val="20"/>
                <w:szCs w:val="20"/>
                <w:lang w:val="es-ES_tradnl"/>
              </w:rPr>
            </w:pPr>
            <w:r w:rsidRPr="000346B3">
              <w:rPr>
                <w:rFonts w:ascii="Arial" w:hAnsi="Arial" w:cs="Arial"/>
                <w:sz w:val="20"/>
                <w:szCs w:val="20"/>
                <w:lang w:val="es-ES_tradnl"/>
              </w:rPr>
              <w:t>Este ratio conjuntamente con otros Indicadores de las Estadísticas de Solidez sirve únicamente para evaluar la salud del sistema financiero, no se recomienda como medida de seguimiento de la meta 10.5 de los indicadores ODS.</w:t>
            </w:r>
          </w:p>
          <w:p w:rsidR="000752AE" w:rsidRPr="008F7668" w:rsidRDefault="00405B6F" w:rsidP="00405B6F">
            <w:pPr>
              <w:jc w:val="both"/>
              <w:rPr>
                <w:rFonts w:ascii="Arial" w:eastAsia="Times New Roman" w:hAnsi="Arial" w:cs="Arial"/>
                <w:sz w:val="20"/>
                <w:szCs w:val="20"/>
              </w:rPr>
            </w:pPr>
            <w:r w:rsidRPr="008F7668">
              <w:rPr>
                <w:rFonts w:ascii="Arial" w:hAnsi="Arial" w:cs="Arial"/>
                <w:sz w:val="20"/>
                <w:szCs w:val="20"/>
                <w:lang w:val="es-ES_tradnl"/>
              </w:rPr>
              <w:t>Los datos agregados desde el 2012 sólo cubre el sector financiero controlado por la S</w:t>
            </w:r>
            <w:r w:rsidR="004F6DFF" w:rsidRPr="008F7668">
              <w:rPr>
                <w:rFonts w:ascii="Arial" w:hAnsi="Arial" w:cs="Arial"/>
                <w:sz w:val="20"/>
                <w:szCs w:val="20"/>
                <w:lang w:val="es-ES_tradnl"/>
              </w:rPr>
              <w:t xml:space="preserve">uperintendencia de </w:t>
            </w:r>
            <w:r w:rsidRPr="008F7668">
              <w:rPr>
                <w:rFonts w:ascii="Arial" w:hAnsi="Arial" w:cs="Arial"/>
                <w:sz w:val="20"/>
                <w:szCs w:val="20"/>
                <w:lang w:val="es-ES_tradnl"/>
              </w:rPr>
              <w:t>B</w:t>
            </w:r>
            <w:r w:rsidR="004F6DFF" w:rsidRPr="008F7668">
              <w:rPr>
                <w:rFonts w:ascii="Arial" w:hAnsi="Arial" w:cs="Arial"/>
                <w:sz w:val="20"/>
                <w:szCs w:val="20"/>
                <w:lang w:val="es-ES_tradnl"/>
              </w:rPr>
              <w:t>ancos y Seguros</w:t>
            </w:r>
            <w:r w:rsidRPr="008F7668">
              <w:rPr>
                <w:rFonts w:ascii="Arial" w:hAnsi="Arial" w:cs="Arial"/>
                <w:sz w:val="20"/>
                <w:szCs w:val="20"/>
                <w:lang w:val="es-ES_tradnl"/>
              </w:rPr>
              <w:t>.</w:t>
            </w:r>
          </w:p>
        </w:tc>
      </w:tr>
      <w:tr w:rsidR="004E7BA5" w:rsidRPr="008F7668" w:rsidTr="00F44A9A">
        <w:trPr>
          <w:trHeight w:val="567"/>
          <w:tblCellSpacing w:w="20" w:type="dxa"/>
        </w:trPr>
        <w:tc>
          <w:tcPr>
            <w:tcW w:w="2383" w:type="pct"/>
            <w:gridSpan w:val="3"/>
            <w:shd w:val="clear" w:color="auto" w:fill="C6D9F1"/>
            <w:vAlign w:val="center"/>
          </w:tcPr>
          <w:p w:rsidR="004E7BA5" w:rsidRPr="008F7668" w:rsidRDefault="004E7BA5" w:rsidP="00F74C87">
            <w:pPr>
              <w:rPr>
                <w:rFonts w:ascii="Arial" w:eastAsia="Times New Roman" w:hAnsi="Arial" w:cs="Arial"/>
                <w:b/>
                <w:bCs/>
                <w:sz w:val="20"/>
                <w:szCs w:val="20"/>
              </w:rPr>
            </w:pPr>
            <w:r w:rsidRPr="008F7668">
              <w:rPr>
                <w:rFonts w:ascii="Arial" w:eastAsia="Times New Roman" w:hAnsi="Arial" w:cs="Arial"/>
                <w:b/>
                <w:bCs/>
                <w:sz w:val="20"/>
                <w:szCs w:val="20"/>
              </w:rPr>
              <w:t xml:space="preserve">UNIDAD DE MEDIDA O EXPRESIÓN DEL INDICADOR </w:t>
            </w:r>
          </w:p>
        </w:tc>
        <w:tc>
          <w:tcPr>
            <w:tcW w:w="2556" w:type="pct"/>
            <w:gridSpan w:val="2"/>
            <w:shd w:val="clear" w:color="auto" w:fill="auto"/>
            <w:vAlign w:val="center"/>
          </w:tcPr>
          <w:p w:rsidR="004E7BA5" w:rsidRPr="008F7668" w:rsidRDefault="004E7BA5" w:rsidP="00C26D32">
            <w:pPr>
              <w:jc w:val="both"/>
              <w:rPr>
                <w:rFonts w:ascii="Arial" w:eastAsia="Times New Roman" w:hAnsi="Arial" w:cs="Arial"/>
                <w:sz w:val="20"/>
                <w:szCs w:val="20"/>
              </w:rPr>
            </w:pPr>
            <w:r w:rsidRPr="008F7668">
              <w:rPr>
                <w:rFonts w:ascii="Arial" w:eastAsia="Times New Roman" w:hAnsi="Arial" w:cs="Arial"/>
                <w:sz w:val="20"/>
                <w:szCs w:val="20"/>
              </w:rPr>
              <w:t xml:space="preserve"> </w:t>
            </w:r>
            <w:r w:rsidR="00C10246" w:rsidRPr="008F7668">
              <w:rPr>
                <w:rFonts w:ascii="Arial" w:eastAsia="Times New Roman" w:hAnsi="Arial" w:cs="Arial"/>
                <w:sz w:val="20"/>
                <w:szCs w:val="20"/>
              </w:rPr>
              <w:t>Porcentaje.</w:t>
            </w:r>
          </w:p>
        </w:tc>
      </w:tr>
      <w:tr w:rsidR="004E7BA5" w:rsidRPr="008F7668" w:rsidTr="00F44A9A">
        <w:trPr>
          <w:trHeight w:val="630"/>
          <w:tblCellSpacing w:w="20" w:type="dxa"/>
        </w:trPr>
        <w:tc>
          <w:tcPr>
            <w:tcW w:w="2383" w:type="pct"/>
            <w:gridSpan w:val="3"/>
            <w:shd w:val="clear" w:color="auto" w:fill="C6D9F1"/>
            <w:vAlign w:val="center"/>
            <w:hideMark/>
          </w:tcPr>
          <w:p w:rsidR="004E7BA5" w:rsidRPr="008F7668" w:rsidRDefault="004E7BA5" w:rsidP="00004233">
            <w:pPr>
              <w:rPr>
                <w:rFonts w:ascii="Arial" w:eastAsia="Times New Roman" w:hAnsi="Arial" w:cs="Arial"/>
                <w:b/>
                <w:bCs/>
                <w:sz w:val="20"/>
                <w:szCs w:val="20"/>
              </w:rPr>
            </w:pPr>
            <w:r w:rsidRPr="008F7668">
              <w:rPr>
                <w:rFonts w:ascii="Arial" w:eastAsia="Times New Roman" w:hAnsi="Arial" w:cs="Arial"/>
                <w:b/>
                <w:bCs/>
                <w:sz w:val="20"/>
                <w:szCs w:val="20"/>
              </w:rPr>
              <w:t xml:space="preserve">                                                                                                                                                                                                                                               INTERPRETACIÓN DEL INDICADOR</w:t>
            </w:r>
          </w:p>
        </w:tc>
        <w:tc>
          <w:tcPr>
            <w:tcW w:w="2556" w:type="pct"/>
            <w:gridSpan w:val="2"/>
            <w:shd w:val="clear" w:color="auto" w:fill="auto"/>
            <w:vAlign w:val="center"/>
            <w:hideMark/>
          </w:tcPr>
          <w:p w:rsidR="004E7BA5" w:rsidRPr="008F7668" w:rsidRDefault="00582A5A" w:rsidP="009569B6">
            <w:pPr>
              <w:autoSpaceDE w:val="0"/>
              <w:autoSpaceDN w:val="0"/>
              <w:adjustRightInd w:val="0"/>
              <w:spacing w:after="0" w:line="240" w:lineRule="auto"/>
              <w:rPr>
                <w:rFonts w:ascii="Arial" w:hAnsi="Arial" w:cs="Arial"/>
                <w:sz w:val="20"/>
                <w:szCs w:val="20"/>
              </w:rPr>
            </w:pPr>
            <w:r>
              <w:rPr>
                <w:rFonts w:ascii="Arial" w:hAnsi="Arial" w:cs="Arial"/>
                <w:sz w:val="20"/>
                <w:szCs w:val="20"/>
                <w:lang w:val="es-ES_tradnl"/>
              </w:rPr>
              <w:t xml:space="preserve">Sirve para evaluar la </w:t>
            </w:r>
            <w:proofErr w:type="spellStart"/>
            <w:r>
              <w:rPr>
                <w:rFonts w:ascii="Arial" w:hAnsi="Arial" w:cs="Arial"/>
                <w:sz w:val="20"/>
                <w:szCs w:val="20"/>
                <w:lang w:val="es-ES_tradnl"/>
              </w:rPr>
              <w:t>eviciencia</w:t>
            </w:r>
            <w:proofErr w:type="spellEnd"/>
            <w:r>
              <w:rPr>
                <w:rFonts w:ascii="Arial" w:hAnsi="Arial" w:cs="Arial"/>
                <w:sz w:val="20"/>
                <w:szCs w:val="20"/>
                <w:lang w:val="es-ES_tradnl"/>
              </w:rPr>
              <w:t xml:space="preserve"> financiera, al determinar el porcentaje que representa el </w:t>
            </w:r>
            <w:r w:rsidRPr="00BA301E">
              <w:rPr>
                <w:rFonts w:ascii="Arial" w:hAnsi="Arial" w:cs="Arial"/>
                <w:sz w:val="20"/>
                <w:szCs w:val="20"/>
              </w:rPr>
              <w:t xml:space="preserve"> </w:t>
            </w:r>
            <w:r>
              <w:rPr>
                <w:rFonts w:ascii="Arial" w:hAnsi="Arial" w:cs="Arial"/>
                <w:sz w:val="20"/>
                <w:szCs w:val="20"/>
              </w:rPr>
              <w:t>margen neto de intereses (ingreso financiero)</w:t>
            </w:r>
            <w:r w:rsidRPr="00BA301E">
              <w:rPr>
                <w:rFonts w:ascii="Arial" w:hAnsi="Arial" w:cs="Arial"/>
                <w:sz w:val="20"/>
                <w:szCs w:val="20"/>
              </w:rPr>
              <w:t xml:space="preserve"> en relación a </w:t>
            </w:r>
            <w:r>
              <w:rPr>
                <w:rFonts w:ascii="Arial" w:hAnsi="Arial" w:cs="Arial"/>
                <w:sz w:val="20"/>
                <w:szCs w:val="20"/>
              </w:rPr>
              <w:t>total de los ingresos</w:t>
            </w:r>
            <w:r w:rsidR="009569B6">
              <w:rPr>
                <w:rFonts w:ascii="Arial" w:hAnsi="Arial" w:cs="Arial"/>
                <w:sz w:val="20"/>
                <w:szCs w:val="20"/>
              </w:rPr>
              <w:t>. M</w:t>
            </w:r>
            <w:r w:rsidR="009569B6">
              <w:rPr>
                <w:rFonts w:ascii="Times-Roman" w:hAnsi="Times-Roman" w:cs="Times-Roman"/>
                <w:sz w:val="20"/>
                <w:szCs w:val="20"/>
              </w:rPr>
              <w:t>ide el ingreso financiero neto —ingresos</w:t>
            </w:r>
            <w:r w:rsidR="009569B6">
              <w:rPr>
                <w:rFonts w:ascii="Times-Roman" w:hAnsi="Times-Roman" w:cs="Times-Roman"/>
                <w:sz w:val="20"/>
                <w:szCs w:val="20"/>
              </w:rPr>
              <w:t xml:space="preserve"> </w:t>
            </w:r>
            <w:r w:rsidR="009569B6">
              <w:rPr>
                <w:rFonts w:ascii="Times-Roman" w:hAnsi="Times-Roman" w:cs="Times-Roman"/>
                <w:sz w:val="20"/>
                <w:szCs w:val="20"/>
              </w:rPr>
              <w:t>financieros menos gastos financieros— como proporción</w:t>
            </w:r>
            <w:r w:rsidR="009569B6">
              <w:rPr>
                <w:rFonts w:ascii="Times-Roman" w:hAnsi="Times-Roman" w:cs="Times-Roman"/>
                <w:sz w:val="20"/>
                <w:szCs w:val="20"/>
              </w:rPr>
              <w:t xml:space="preserve"> </w:t>
            </w:r>
            <w:r w:rsidR="009569B6">
              <w:rPr>
                <w:rFonts w:ascii="Times-Roman" w:hAnsi="Times-Roman" w:cs="Times-Roman"/>
                <w:sz w:val="20"/>
                <w:szCs w:val="20"/>
              </w:rPr>
              <w:t>del ingreso bruto</w:t>
            </w:r>
            <w:r w:rsidR="008F7668">
              <w:rPr>
                <w:rStyle w:val="Refdenotaalpie"/>
                <w:rFonts w:ascii="Arial" w:hAnsi="Arial" w:cs="Arial"/>
                <w:sz w:val="20"/>
                <w:szCs w:val="20"/>
                <w:lang w:val="es-ES_tradnl"/>
              </w:rPr>
              <w:footnoteReference w:id="4"/>
            </w:r>
            <w:r w:rsidR="008F7668" w:rsidRPr="008F7668">
              <w:rPr>
                <w:rFonts w:ascii="Arial" w:hAnsi="Arial" w:cs="Arial"/>
                <w:sz w:val="20"/>
                <w:szCs w:val="20"/>
              </w:rPr>
              <w:t xml:space="preserve"> </w:t>
            </w:r>
          </w:p>
        </w:tc>
      </w:tr>
      <w:tr w:rsidR="004E7BA5" w:rsidRPr="008F7668" w:rsidTr="00F44A9A">
        <w:trPr>
          <w:trHeight w:val="627"/>
          <w:tblCellSpacing w:w="20" w:type="dxa"/>
        </w:trPr>
        <w:tc>
          <w:tcPr>
            <w:tcW w:w="2383" w:type="pct"/>
            <w:gridSpan w:val="3"/>
            <w:shd w:val="clear" w:color="auto" w:fill="C6D9F1"/>
            <w:vAlign w:val="center"/>
            <w:hideMark/>
          </w:tcPr>
          <w:p w:rsidR="004E7BA5" w:rsidRPr="008F7668" w:rsidRDefault="004E7BA5" w:rsidP="003F1D46">
            <w:pPr>
              <w:rPr>
                <w:rFonts w:ascii="Arial" w:eastAsia="Times New Roman" w:hAnsi="Arial" w:cs="Arial"/>
                <w:b/>
                <w:bCs/>
                <w:sz w:val="20"/>
                <w:szCs w:val="20"/>
              </w:rPr>
            </w:pPr>
            <w:r w:rsidRPr="008F7668">
              <w:rPr>
                <w:rFonts w:ascii="Arial" w:eastAsia="Times New Roman" w:hAnsi="Arial" w:cs="Arial"/>
                <w:b/>
                <w:bCs/>
                <w:sz w:val="20"/>
                <w:szCs w:val="20"/>
              </w:rPr>
              <w:t xml:space="preserve">FUENTE DE DATOS </w:t>
            </w:r>
          </w:p>
        </w:tc>
        <w:tc>
          <w:tcPr>
            <w:tcW w:w="2556" w:type="pct"/>
            <w:gridSpan w:val="2"/>
            <w:shd w:val="clear" w:color="auto" w:fill="auto"/>
            <w:vAlign w:val="center"/>
            <w:hideMark/>
          </w:tcPr>
          <w:p w:rsidR="008F7668" w:rsidRPr="008F7668" w:rsidRDefault="00304F9F" w:rsidP="00B20D94">
            <w:pPr>
              <w:pStyle w:val="NormalWeb"/>
              <w:spacing w:before="0" w:beforeAutospacing="0" w:after="0" w:afterAutospacing="0"/>
              <w:jc w:val="both"/>
              <w:rPr>
                <w:rFonts w:ascii="Arial" w:eastAsia="Calibri" w:hAnsi="Arial" w:cs="Arial"/>
                <w:iCs/>
                <w:color w:val="000000"/>
                <w:sz w:val="20"/>
                <w:szCs w:val="20"/>
                <w:lang w:val="es-EC" w:eastAsia="en-US"/>
              </w:rPr>
            </w:pPr>
            <w:r w:rsidRPr="008F7668">
              <w:rPr>
                <w:rFonts w:ascii="Arial" w:eastAsia="Calibri" w:hAnsi="Arial" w:cs="Arial"/>
                <w:iCs/>
                <w:color w:val="000000"/>
                <w:sz w:val="20"/>
                <w:szCs w:val="20"/>
                <w:lang w:val="es-EC" w:eastAsia="en-US"/>
              </w:rPr>
              <w:t>Estadística</w:t>
            </w:r>
            <w:r w:rsidR="004A6C98" w:rsidRPr="008F7668">
              <w:rPr>
                <w:rFonts w:ascii="Arial" w:eastAsia="Calibri" w:hAnsi="Arial" w:cs="Arial"/>
                <w:iCs/>
                <w:color w:val="000000"/>
                <w:sz w:val="20"/>
                <w:szCs w:val="20"/>
                <w:lang w:val="es-EC" w:eastAsia="en-US"/>
              </w:rPr>
              <w:t>s</w:t>
            </w:r>
            <w:r w:rsidRPr="008F7668">
              <w:rPr>
                <w:rFonts w:ascii="Arial" w:eastAsia="Calibri" w:hAnsi="Arial" w:cs="Arial"/>
                <w:iCs/>
                <w:color w:val="000000"/>
                <w:sz w:val="20"/>
                <w:szCs w:val="20"/>
                <w:lang w:val="es-EC" w:eastAsia="en-US"/>
              </w:rPr>
              <w:t xml:space="preserve"> de las estructuras integradas de Información</w:t>
            </w:r>
            <w:r w:rsidR="001A2F76" w:rsidRPr="008F7668">
              <w:rPr>
                <w:rFonts w:ascii="Arial" w:eastAsia="Calibri" w:hAnsi="Arial" w:cs="Arial"/>
                <w:iCs/>
                <w:color w:val="000000"/>
                <w:sz w:val="20"/>
                <w:szCs w:val="20"/>
                <w:lang w:val="es-EC" w:eastAsia="en-US"/>
              </w:rPr>
              <w:t>:</w:t>
            </w:r>
            <w:r w:rsidRPr="008F7668">
              <w:rPr>
                <w:rFonts w:ascii="Arial" w:eastAsia="Calibri" w:hAnsi="Arial" w:cs="Arial"/>
                <w:iCs/>
                <w:color w:val="000000"/>
                <w:sz w:val="20"/>
                <w:szCs w:val="20"/>
                <w:lang w:val="es-EC" w:eastAsia="en-US"/>
              </w:rPr>
              <w:t xml:space="preserve"> </w:t>
            </w:r>
          </w:p>
          <w:p w:rsidR="008F7668" w:rsidRPr="008F7668" w:rsidRDefault="008F7668" w:rsidP="00B20D94">
            <w:pPr>
              <w:pStyle w:val="NormalWeb"/>
              <w:spacing w:before="0" w:beforeAutospacing="0" w:after="0" w:afterAutospacing="0"/>
              <w:jc w:val="both"/>
              <w:rPr>
                <w:rFonts w:ascii="Arial" w:eastAsia="Calibri" w:hAnsi="Arial" w:cs="Arial"/>
                <w:iCs/>
                <w:color w:val="000000"/>
                <w:sz w:val="20"/>
                <w:szCs w:val="20"/>
                <w:lang w:val="es-EC" w:eastAsia="en-US"/>
              </w:rPr>
            </w:pPr>
          </w:p>
          <w:p w:rsidR="004E7BA5" w:rsidRPr="008F7668" w:rsidRDefault="008F7668" w:rsidP="00B20D94">
            <w:pPr>
              <w:pStyle w:val="NormalWeb"/>
              <w:spacing w:before="0" w:beforeAutospacing="0" w:after="0" w:afterAutospacing="0"/>
              <w:jc w:val="both"/>
              <w:rPr>
                <w:rFonts w:ascii="Arial" w:eastAsia="Calibri" w:hAnsi="Arial" w:cs="Arial"/>
                <w:iCs/>
                <w:color w:val="000000"/>
                <w:sz w:val="20"/>
                <w:szCs w:val="20"/>
                <w:lang w:val="es-EC" w:eastAsia="en-US"/>
              </w:rPr>
            </w:pPr>
            <w:r w:rsidRPr="008F7668">
              <w:rPr>
                <w:rFonts w:ascii="Arial" w:eastAsia="Calibri" w:hAnsi="Arial" w:cs="Arial"/>
                <w:iCs/>
                <w:color w:val="000000"/>
                <w:sz w:val="20"/>
                <w:szCs w:val="20"/>
                <w:lang w:val="es-EC" w:eastAsia="en-US"/>
              </w:rPr>
              <w:t>D</w:t>
            </w:r>
            <w:r w:rsidR="003F1D46" w:rsidRPr="008F7668">
              <w:rPr>
                <w:rFonts w:ascii="Arial" w:eastAsia="Calibri" w:hAnsi="Arial" w:cs="Arial"/>
                <w:iCs/>
                <w:color w:val="000000"/>
                <w:sz w:val="20"/>
                <w:szCs w:val="20"/>
                <w:lang w:val="es-EC" w:eastAsia="en-US"/>
              </w:rPr>
              <w:t>atos agregados para las estadísticas ind</w:t>
            </w:r>
            <w:r w:rsidR="00FC38C6">
              <w:rPr>
                <w:rFonts w:ascii="Arial" w:eastAsia="Calibri" w:hAnsi="Arial" w:cs="Arial"/>
                <w:iCs/>
                <w:color w:val="000000"/>
                <w:sz w:val="20"/>
                <w:szCs w:val="20"/>
                <w:lang w:val="es-EC" w:eastAsia="en-US"/>
              </w:rPr>
              <w:t xml:space="preserve">icadores de solidez financiera de la </w:t>
            </w:r>
            <w:r w:rsidR="00304F9F" w:rsidRPr="008F7668">
              <w:rPr>
                <w:rFonts w:ascii="Arial" w:eastAsia="Calibri" w:hAnsi="Arial" w:cs="Arial"/>
                <w:iCs/>
                <w:color w:val="000000"/>
                <w:sz w:val="20"/>
                <w:szCs w:val="20"/>
                <w:lang w:val="es-EC" w:eastAsia="en-US"/>
              </w:rPr>
              <w:t>Superintendencia de Bancos.</w:t>
            </w:r>
          </w:p>
          <w:p w:rsidR="004E7BA5" w:rsidRPr="008F7668" w:rsidRDefault="004E7BA5" w:rsidP="00B20D94">
            <w:pPr>
              <w:pStyle w:val="NormalWeb"/>
              <w:spacing w:before="0" w:beforeAutospacing="0" w:after="0" w:afterAutospacing="0"/>
              <w:jc w:val="both"/>
              <w:rPr>
                <w:rFonts w:ascii="Arial" w:eastAsia="Calibri" w:hAnsi="Arial" w:cs="Arial"/>
                <w:iCs/>
                <w:color w:val="000000"/>
                <w:sz w:val="20"/>
                <w:szCs w:val="20"/>
                <w:lang w:val="es-EC" w:eastAsia="en-US"/>
              </w:rPr>
            </w:pPr>
          </w:p>
        </w:tc>
      </w:tr>
      <w:tr w:rsidR="004E7BA5" w:rsidRPr="008F7668" w:rsidTr="00F44A9A">
        <w:trPr>
          <w:trHeight w:val="115"/>
          <w:tblCellSpacing w:w="20" w:type="dxa"/>
        </w:trPr>
        <w:tc>
          <w:tcPr>
            <w:tcW w:w="2383" w:type="pct"/>
            <w:gridSpan w:val="3"/>
            <w:shd w:val="clear" w:color="auto" w:fill="C6D9F1"/>
            <w:vAlign w:val="center"/>
            <w:hideMark/>
          </w:tcPr>
          <w:p w:rsidR="004E7BA5" w:rsidRPr="008F7668" w:rsidRDefault="004E7BA5" w:rsidP="0059347C">
            <w:pPr>
              <w:rPr>
                <w:rFonts w:ascii="Arial" w:eastAsia="Times New Roman" w:hAnsi="Arial" w:cs="Arial"/>
                <w:b/>
                <w:bCs/>
                <w:sz w:val="20"/>
                <w:szCs w:val="20"/>
              </w:rPr>
            </w:pPr>
            <w:r w:rsidRPr="008F7668">
              <w:rPr>
                <w:rFonts w:ascii="Arial" w:eastAsia="Times New Roman" w:hAnsi="Arial" w:cs="Arial"/>
                <w:b/>
                <w:bCs/>
                <w:sz w:val="20"/>
                <w:szCs w:val="20"/>
              </w:rPr>
              <w:t xml:space="preserve">PERIODICIDAD DE REPORTE DEL INDICADOR </w:t>
            </w:r>
          </w:p>
        </w:tc>
        <w:tc>
          <w:tcPr>
            <w:tcW w:w="2556" w:type="pct"/>
            <w:gridSpan w:val="2"/>
            <w:shd w:val="clear" w:color="auto" w:fill="auto"/>
            <w:vAlign w:val="center"/>
            <w:hideMark/>
          </w:tcPr>
          <w:p w:rsidR="004E7BA5" w:rsidRPr="008F7668" w:rsidRDefault="00304F9F" w:rsidP="0059347C">
            <w:pPr>
              <w:jc w:val="both"/>
              <w:rPr>
                <w:rFonts w:ascii="Arial" w:eastAsia="Times New Roman" w:hAnsi="Arial" w:cs="Arial"/>
                <w:sz w:val="20"/>
                <w:szCs w:val="20"/>
              </w:rPr>
            </w:pPr>
            <w:r w:rsidRPr="008F7668">
              <w:rPr>
                <w:rFonts w:ascii="Arial" w:eastAsia="Times New Roman" w:hAnsi="Arial" w:cs="Arial"/>
                <w:sz w:val="20"/>
                <w:szCs w:val="20"/>
              </w:rPr>
              <w:t>Anual</w:t>
            </w:r>
          </w:p>
        </w:tc>
      </w:tr>
      <w:tr w:rsidR="004E7BA5" w:rsidRPr="008F7668" w:rsidTr="00F44A9A">
        <w:trPr>
          <w:trHeight w:val="351"/>
          <w:tblCellSpacing w:w="20" w:type="dxa"/>
        </w:trPr>
        <w:tc>
          <w:tcPr>
            <w:tcW w:w="2383" w:type="pct"/>
            <w:gridSpan w:val="3"/>
            <w:shd w:val="clear" w:color="auto" w:fill="C6D9F1"/>
            <w:vAlign w:val="center"/>
            <w:hideMark/>
          </w:tcPr>
          <w:p w:rsidR="004E7BA5" w:rsidRPr="008F7668" w:rsidRDefault="004E7BA5" w:rsidP="00004233">
            <w:pPr>
              <w:rPr>
                <w:rFonts w:ascii="Arial" w:eastAsia="Times New Roman" w:hAnsi="Arial" w:cs="Arial"/>
                <w:b/>
                <w:bCs/>
                <w:sz w:val="20"/>
                <w:szCs w:val="20"/>
              </w:rPr>
            </w:pPr>
            <w:r w:rsidRPr="008F7668">
              <w:rPr>
                <w:rFonts w:ascii="Arial" w:eastAsia="Times New Roman" w:hAnsi="Arial" w:cs="Arial"/>
                <w:b/>
                <w:bCs/>
                <w:sz w:val="20"/>
                <w:szCs w:val="20"/>
              </w:rPr>
              <w:lastRenderedPageBreak/>
              <w:t>DISPONIBILIDAD DE LOS DATOS</w:t>
            </w:r>
          </w:p>
        </w:tc>
        <w:tc>
          <w:tcPr>
            <w:tcW w:w="2556" w:type="pct"/>
            <w:gridSpan w:val="2"/>
            <w:shd w:val="clear" w:color="auto" w:fill="auto"/>
            <w:vAlign w:val="center"/>
            <w:hideMark/>
          </w:tcPr>
          <w:p w:rsidR="004E7BA5" w:rsidRPr="008F7668" w:rsidRDefault="00D771F3" w:rsidP="00D771F3">
            <w:pPr>
              <w:jc w:val="both"/>
              <w:rPr>
                <w:rFonts w:ascii="Arial" w:eastAsia="Times New Roman" w:hAnsi="Arial" w:cs="Arial"/>
                <w:sz w:val="20"/>
                <w:szCs w:val="20"/>
              </w:rPr>
            </w:pPr>
            <w:r w:rsidRPr="008F7668">
              <w:rPr>
                <w:rFonts w:ascii="Arial" w:eastAsia="Times New Roman" w:hAnsi="Arial" w:cs="Arial"/>
                <w:sz w:val="20"/>
                <w:szCs w:val="20"/>
              </w:rPr>
              <w:t>Desde el año 2002, con corte a</w:t>
            </w:r>
            <w:r w:rsidR="000752AE" w:rsidRPr="008F7668">
              <w:rPr>
                <w:rFonts w:ascii="Arial" w:eastAsia="Times New Roman" w:hAnsi="Arial" w:cs="Arial"/>
                <w:sz w:val="20"/>
                <w:szCs w:val="20"/>
              </w:rPr>
              <w:t>l 31 de diciembre.</w:t>
            </w:r>
          </w:p>
        </w:tc>
      </w:tr>
      <w:tr w:rsidR="004E7BA5" w:rsidRPr="008F7668" w:rsidTr="00F44A9A">
        <w:trPr>
          <w:trHeight w:val="611"/>
          <w:tblCellSpacing w:w="20" w:type="dxa"/>
        </w:trPr>
        <w:tc>
          <w:tcPr>
            <w:tcW w:w="1040" w:type="pct"/>
            <w:vMerge w:val="restart"/>
            <w:tcBorders>
              <w:top w:val="outset" w:sz="6" w:space="0" w:color="auto"/>
              <w:right w:val="outset" w:sz="6" w:space="0" w:color="auto"/>
            </w:tcBorders>
            <w:shd w:val="clear" w:color="auto" w:fill="C6D9F1"/>
            <w:vAlign w:val="center"/>
          </w:tcPr>
          <w:p w:rsidR="004E7BA5" w:rsidRPr="008F7668" w:rsidRDefault="004E7BA5" w:rsidP="00004233">
            <w:pPr>
              <w:rPr>
                <w:rFonts w:ascii="Arial" w:eastAsia="Times New Roman" w:hAnsi="Arial" w:cs="Arial"/>
                <w:b/>
                <w:bCs/>
                <w:sz w:val="20"/>
                <w:szCs w:val="20"/>
              </w:rPr>
            </w:pPr>
            <w:r w:rsidRPr="008F7668">
              <w:rPr>
                <w:rFonts w:ascii="Arial" w:eastAsia="Times New Roman" w:hAnsi="Arial" w:cs="Arial"/>
                <w:b/>
                <w:bCs/>
                <w:sz w:val="20"/>
                <w:szCs w:val="20"/>
              </w:rPr>
              <w:t>NIVEL DE DESAGREGACIÓN</w:t>
            </w:r>
          </w:p>
        </w:tc>
        <w:tc>
          <w:tcPr>
            <w:tcW w:w="1323" w:type="pct"/>
            <w:gridSpan w:val="2"/>
            <w:tcBorders>
              <w:top w:val="outset" w:sz="6" w:space="0" w:color="auto"/>
              <w:left w:val="outset" w:sz="6" w:space="0" w:color="auto"/>
            </w:tcBorders>
            <w:shd w:val="clear" w:color="auto" w:fill="C6D9F1"/>
            <w:vAlign w:val="center"/>
          </w:tcPr>
          <w:p w:rsidR="004E7BA5" w:rsidRPr="008F7668" w:rsidRDefault="004E7BA5" w:rsidP="00004233">
            <w:pPr>
              <w:rPr>
                <w:rFonts w:ascii="Arial" w:eastAsia="Times New Roman" w:hAnsi="Arial" w:cs="Arial"/>
                <w:b/>
                <w:bCs/>
                <w:sz w:val="20"/>
                <w:szCs w:val="20"/>
              </w:rPr>
            </w:pPr>
            <w:r w:rsidRPr="008F7668">
              <w:rPr>
                <w:rFonts w:ascii="Arial" w:eastAsia="Times New Roman" w:hAnsi="Arial" w:cs="Arial"/>
                <w:b/>
                <w:bCs/>
                <w:sz w:val="20"/>
                <w:szCs w:val="20"/>
              </w:rPr>
              <w:t>GEOGRÁFICO</w:t>
            </w:r>
          </w:p>
        </w:tc>
        <w:tc>
          <w:tcPr>
            <w:tcW w:w="2556" w:type="pct"/>
            <w:gridSpan w:val="2"/>
            <w:shd w:val="clear" w:color="auto" w:fill="auto"/>
            <w:vAlign w:val="center"/>
          </w:tcPr>
          <w:p w:rsidR="004E7BA5" w:rsidRPr="008F7668" w:rsidRDefault="00D771F3">
            <w:pPr>
              <w:jc w:val="both"/>
              <w:rPr>
                <w:rFonts w:ascii="Arial" w:hAnsi="Arial" w:cs="Arial"/>
                <w:sz w:val="20"/>
                <w:szCs w:val="20"/>
                <w:lang w:eastAsia="en-US"/>
              </w:rPr>
            </w:pPr>
            <w:r w:rsidRPr="008F7668">
              <w:rPr>
                <w:rFonts w:ascii="Arial" w:hAnsi="Arial" w:cs="Arial"/>
                <w:sz w:val="20"/>
                <w:szCs w:val="20"/>
                <w:lang w:eastAsia="en-US"/>
              </w:rPr>
              <w:t>Nacional</w:t>
            </w:r>
            <w:r w:rsidR="008F7668">
              <w:rPr>
                <w:rStyle w:val="Refdenotaalpie"/>
                <w:rFonts w:ascii="Arial" w:hAnsi="Arial" w:cs="Arial"/>
                <w:sz w:val="20"/>
                <w:szCs w:val="20"/>
                <w:lang w:eastAsia="en-US"/>
              </w:rPr>
              <w:footnoteReference w:id="5"/>
            </w:r>
            <w:r w:rsidRPr="008F7668">
              <w:rPr>
                <w:rFonts w:ascii="Arial" w:hAnsi="Arial" w:cs="Arial"/>
                <w:sz w:val="20"/>
                <w:szCs w:val="20"/>
                <w:lang w:eastAsia="en-US"/>
              </w:rPr>
              <w:t xml:space="preserve"> de las instituciones financieras bajo el control de la Superintendencia de Bancos.</w:t>
            </w:r>
          </w:p>
        </w:tc>
      </w:tr>
      <w:tr w:rsidR="004E7BA5" w:rsidRPr="008F7668" w:rsidTr="00F44A9A">
        <w:trPr>
          <w:trHeight w:val="513"/>
          <w:tblCellSpacing w:w="20" w:type="dxa"/>
        </w:trPr>
        <w:tc>
          <w:tcPr>
            <w:tcW w:w="1040" w:type="pct"/>
            <w:vMerge/>
            <w:tcBorders>
              <w:right w:val="outset" w:sz="6" w:space="0" w:color="auto"/>
            </w:tcBorders>
            <w:shd w:val="clear" w:color="auto" w:fill="C6D9F1"/>
            <w:vAlign w:val="center"/>
          </w:tcPr>
          <w:p w:rsidR="004E7BA5" w:rsidRPr="008F7668" w:rsidRDefault="004E7BA5" w:rsidP="00004233">
            <w:pPr>
              <w:rPr>
                <w:rFonts w:ascii="Arial" w:eastAsia="Times New Roman" w:hAnsi="Arial" w:cs="Arial"/>
                <w:b/>
                <w:bCs/>
                <w:sz w:val="20"/>
                <w:szCs w:val="20"/>
              </w:rPr>
            </w:pPr>
          </w:p>
        </w:tc>
        <w:tc>
          <w:tcPr>
            <w:tcW w:w="1323" w:type="pct"/>
            <w:gridSpan w:val="2"/>
            <w:tcBorders>
              <w:left w:val="outset" w:sz="6" w:space="0" w:color="auto"/>
            </w:tcBorders>
            <w:shd w:val="clear" w:color="auto" w:fill="C6D9F1"/>
            <w:vAlign w:val="center"/>
          </w:tcPr>
          <w:p w:rsidR="004E7BA5" w:rsidRPr="008F7668" w:rsidRDefault="004E7BA5" w:rsidP="00004233">
            <w:pPr>
              <w:rPr>
                <w:rFonts w:ascii="Arial" w:eastAsia="Times New Roman" w:hAnsi="Arial" w:cs="Arial"/>
                <w:b/>
                <w:bCs/>
                <w:sz w:val="20"/>
                <w:szCs w:val="20"/>
              </w:rPr>
            </w:pPr>
            <w:r w:rsidRPr="008F7668">
              <w:rPr>
                <w:rFonts w:ascii="Arial" w:eastAsia="Times New Roman" w:hAnsi="Arial" w:cs="Arial"/>
                <w:b/>
                <w:bCs/>
                <w:sz w:val="20"/>
                <w:szCs w:val="20"/>
              </w:rPr>
              <w:t>GENERAL</w:t>
            </w:r>
          </w:p>
        </w:tc>
        <w:tc>
          <w:tcPr>
            <w:tcW w:w="2556" w:type="pct"/>
            <w:gridSpan w:val="2"/>
            <w:shd w:val="clear" w:color="auto" w:fill="auto"/>
            <w:vAlign w:val="center"/>
          </w:tcPr>
          <w:p w:rsidR="004E7BA5" w:rsidRPr="008F7668" w:rsidRDefault="008F7668" w:rsidP="00C26D32">
            <w:pPr>
              <w:jc w:val="both"/>
              <w:rPr>
                <w:rFonts w:ascii="Arial" w:hAnsi="Arial" w:cs="Arial"/>
                <w:sz w:val="20"/>
                <w:szCs w:val="20"/>
                <w:lang w:eastAsia="en-US"/>
              </w:rPr>
            </w:pPr>
            <w:r w:rsidRPr="008F7668">
              <w:rPr>
                <w:rFonts w:ascii="Arial" w:hAnsi="Arial" w:cs="Arial"/>
                <w:sz w:val="20"/>
                <w:szCs w:val="20"/>
              </w:rPr>
              <w:t>No aplica.</w:t>
            </w:r>
          </w:p>
        </w:tc>
      </w:tr>
      <w:tr w:rsidR="004E7BA5" w:rsidRPr="008F7668" w:rsidTr="00F44A9A">
        <w:trPr>
          <w:trHeight w:val="513"/>
          <w:tblCellSpacing w:w="20" w:type="dxa"/>
        </w:trPr>
        <w:tc>
          <w:tcPr>
            <w:tcW w:w="1040" w:type="pct"/>
            <w:vMerge/>
            <w:tcBorders>
              <w:bottom w:val="outset" w:sz="6" w:space="0" w:color="auto"/>
              <w:right w:val="outset" w:sz="6" w:space="0" w:color="auto"/>
            </w:tcBorders>
            <w:shd w:val="clear" w:color="auto" w:fill="C6D9F1"/>
            <w:vAlign w:val="center"/>
          </w:tcPr>
          <w:p w:rsidR="004E7BA5" w:rsidRPr="008F7668" w:rsidRDefault="004E7BA5" w:rsidP="00004233">
            <w:pPr>
              <w:rPr>
                <w:rFonts w:ascii="Arial" w:eastAsia="Times New Roman" w:hAnsi="Arial" w:cs="Arial"/>
                <w:b/>
                <w:bCs/>
                <w:sz w:val="20"/>
                <w:szCs w:val="20"/>
              </w:rPr>
            </w:pPr>
          </w:p>
        </w:tc>
        <w:tc>
          <w:tcPr>
            <w:tcW w:w="1323" w:type="pct"/>
            <w:gridSpan w:val="2"/>
            <w:tcBorders>
              <w:left w:val="outset" w:sz="6" w:space="0" w:color="auto"/>
              <w:bottom w:val="outset" w:sz="6" w:space="0" w:color="auto"/>
            </w:tcBorders>
            <w:shd w:val="clear" w:color="auto" w:fill="C6D9F1"/>
            <w:vAlign w:val="center"/>
          </w:tcPr>
          <w:p w:rsidR="004E7BA5" w:rsidRPr="008F7668" w:rsidRDefault="004E7BA5" w:rsidP="00004233">
            <w:pPr>
              <w:rPr>
                <w:rFonts w:ascii="Arial" w:eastAsia="Times New Roman" w:hAnsi="Arial" w:cs="Arial"/>
                <w:b/>
                <w:bCs/>
                <w:sz w:val="20"/>
                <w:szCs w:val="20"/>
              </w:rPr>
            </w:pPr>
            <w:r w:rsidRPr="008F7668">
              <w:rPr>
                <w:rFonts w:ascii="Arial" w:eastAsia="Times New Roman" w:hAnsi="Arial" w:cs="Arial"/>
                <w:b/>
                <w:bCs/>
                <w:sz w:val="20"/>
                <w:szCs w:val="20"/>
              </w:rPr>
              <w:t>OTROS ÁMBITOS</w:t>
            </w:r>
          </w:p>
        </w:tc>
        <w:tc>
          <w:tcPr>
            <w:tcW w:w="2556" w:type="pct"/>
            <w:gridSpan w:val="2"/>
            <w:shd w:val="clear" w:color="auto" w:fill="auto"/>
            <w:vAlign w:val="center"/>
          </w:tcPr>
          <w:p w:rsidR="004E7BA5" w:rsidRPr="008F7668" w:rsidRDefault="008F7668" w:rsidP="00004233">
            <w:pPr>
              <w:jc w:val="both"/>
              <w:rPr>
                <w:rFonts w:ascii="Arial" w:eastAsia="Times New Roman" w:hAnsi="Arial" w:cs="Arial"/>
                <w:sz w:val="20"/>
                <w:szCs w:val="20"/>
              </w:rPr>
            </w:pPr>
            <w:r w:rsidRPr="008F7668">
              <w:rPr>
                <w:rFonts w:ascii="Arial" w:hAnsi="Arial" w:cs="Arial"/>
                <w:sz w:val="20"/>
                <w:szCs w:val="20"/>
              </w:rPr>
              <w:t>No aplica.</w:t>
            </w:r>
          </w:p>
        </w:tc>
      </w:tr>
      <w:tr w:rsidR="004E7BA5" w:rsidRPr="008F7668" w:rsidTr="00F44A9A">
        <w:trPr>
          <w:trHeight w:val="799"/>
          <w:tblCellSpacing w:w="20" w:type="dxa"/>
        </w:trPr>
        <w:tc>
          <w:tcPr>
            <w:tcW w:w="2383" w:type="pct"/>
            <w:gridSpan w:val="3"/>
            <w:shd w:val="clear" w:color="auto" w:fill="C6D9F1"/>
            <w:vAlign w:val="center"/>
            <w:hideMark/>
          </w:tcPr>
          <w:p w:rsidR="004E7BA5" w:rsidRPr="008F7668" w:rsidRDefault="004E7BA5" w:rsidP="00004233">
            <w:pPr>
              <w:rPr>
                <w:rFonts w:ascii="Arial" w:eastAsia="Times New Roman" w:hAnsi="Arial" w:cs="Arial"/>
                <w:b/>
                <w:bCs/>
                <w:sz w:val="20"/>
                <w:szCs w:val="20"/>
              </w:rPr>
            </w:pPr>
            <w:r w:rsidRPr="008F7668">
              <w:rPr>
                <w:rFonts w:ascii="Arial" w:eastAsia="Times New Roman" w:hAnsi="Arial" w:cs="Arial"/>
                <w:b/>
                <w:bCs/>
                <w:sz w:val="20"/>
                <w:szCs w:val="20"/>
              </w:rPr>
              <w:t>INFORMACIÓN GEO – REFERENCIADA</w:t>
            </w:r>
          </w:p>
        </w:tc>
        <w:tc>
          <w:tcPr>
            <w:tcW w:w="2556" w:type="pct"/>
            <w:gridSpan w:val="2"/>
            <w:shd w:val="clear" w:color="auto" w:fill="auto"/>
            <w:vAlign w:val="center"/>
            <w:hideMark/>
          </w:tcPr>
          <w:p w:rsidR="004E7BA5" w:rsidRPr="008F7668" w:rsidRDefault="008F7668" w:rsidP="00004233">
            <w:pPr>
              <w:jc w:val="both"/>
              <w:rPr>
                <w:rFonts w:ascii="Arial" w:eastAsia="Times New Roman" w:hAnsi="Arial" w:cs="Arial"/>
                <w:color w:val="000000"/>
                <w:sz w:val="20"/>
                <w:szCs w:val="20"/>
              </w:rPr>
            </w:pPr>
            <w:r w:rsidRPr="008F7668">
              <w:rPr>
                <w:rFonts w:ascii="Arial" w:hAnsi="Arial" w:cs="Arial"/>
                <w:sz w:val="20"/>
                <w:szCs w:val="20"/>
              </w:rPr>
              <w:t>No aplica.</w:t>
            </w:r>
          </w:p>
        </w:tc>
      </w:tr>
      <w:tr w:rsidR="004E7BA5" w:rsidRPr="008F7668" w:rsidTr="00F44A9A">
        <w:trPr>
          <w:trHeight w:val="970"/>
          <w:tblCellSpacing w:w="20" w:type="dxa"/>
        </w:trPr>
        <w:tc>
          <w:tcPr>
            <w:tcW w:w="2383" w:type="pct"/>
            <w:gridSpan w:val="3"/>
            <w:shd w:val="clear" w:color="auto" w:fill="C6D9F1"/>
            <w:vAlign w:val="center"/>
            <w:hideMark/>
          </w:tcPr>
          <w:p w:rsidR="004E7BA5" w:rsidRPr="008F7668" w:rsidRDefault="004E7BA5" w:rsidP="004E0B76">
            <w:pPr>
              <w:rPr>
                <w:rFonts w:ascii="Arial" w:eastAsia="Times New Roman" w:hAnsi="Arial" w:cs="Arial"/>
                <w:b/>
                <w:bCs/>
                <w:sz w:val="20"/>
                <w:szCs w:val="20"/>
              </w:rPr>
            </w:pPr>
            <w:r w:rsidRPr="008F7668">
              <w:rPr>
                <w:rFonts w:ascii="Arial" w:eastAsia="Times New Roman" w:hAnsi="Arial" w:cs="Arial"/>
                <w:b/>
                <w:bCs/>
                <w:sz w:val="20"/>
                <w:szCs w:val="20"/>
              </w:rPr>
              <w:t>RELACI</w:t>
            </w:r>
            <w:r w:rsidRPr="008F7668">
              <w:rPr>
                <w:rFonts w:ascii="Arial" w:eastAsia="Times New Roman" w:hAnsi="Arial" w:cs="Arial"/>
                <w:b/>
                <w:bCs/>
                <w:color w:val="000000"/>
                <w:sz w:val="20"/>
                <w:szCs w:val="20"/>
              </w:rPr>
              <w:t xml:space="preserve">ÓN CON  INSTRUMENTOS DE PLANIFICACIÓN NACIONAL </w:t>
            </w:r>
            <w:r w:rsidRPr="008F7668">
              <w:rPr>
                <w:rFonts w:ascii="Arial" w:hAnsi="Arial" w:cs="Arial"/>
                <w:b/>
                <w:sz w:val="20"/>
                <w:szCs w:val="20"/>
              </w:rPr>
              <w:t xml:space="preserve">E </w:t>
            </w:r>
            <w:r w:rsidRPr="008F7668">
              <w:rPr>
                <w:rFonts w:ascii="Arial" w:eastAsia="Times New Roman" w:hAnsi="Arial" w:cs="Arial"/>
                <w:b/>
                <w:bCs/>
                <w:color w:val="000000"/>
                <w:sz w:val="20"/>
                <w:szCs w:val="20"/>
              </w:rPr>
              <w:t>INTERNACIONAL</w:t>
            </w:r>
          </w:p>
        </w:tc>
        <w:tc>
          <w:tcPr>
            <w:tcW w:w="2556" w:type="pct"/>
            <w:gridSpan w:val="2"/>
            <w:shd w:val="clear" w:color="auto" w:fill="auto"/>
            <w:vAlign w:val="center"/>
            <w:hideMark/>
          </w:tcPr>
          <w:p w:rsidR="008F7668" w:rsidRPr="008F7668" w:rsidRDefault="008F7668" w:rsidP="008F7668">
            <w:pPr>
              <w:pStyle w:val="Prrafodelista"/>
              <w:numPr>
                <w:ilvl w:val="0"/>
                <w:numId w:val="33"/>
              </w:numPr>
              <w:spacing w:after="0" w:line="240" w:lineRule="auto"/>
              <w:jc w:val="both"/>
              <w:rPr>
                <w:rFonts w:ascii="Arial" w:eastAsia="Times New Roman" w:hAnsi="Arial" w:cs="Arial"/>
                <w:sz w:val="20"/>
                <w:szCs w:val="20"/>
              </w:rPr>
            </w:pPr>
            <w:r w:rsidRPr="008F7668">
              <w:rPr>
                <w:rFonts w:ascii="Arial" w:eastAsia="Times New Roman" w:hAnsi="Arial" w:cs="Arial"/>
                <w:sz w:val="20"/>
                <w:szCs w:val="20"/>
              </w:rPr>
              <w:t>Agenda de Desarrollo 2030 – Objetivos de Desarrollo Sostenible</w:t>
            </w:r>
          </w:p>
          <w:p w:rsidR="00E306CA" w:rsidRPr="008F7668" w:rsidRDefault="00E306CA" w:rsidP="00E306CA">
            <w:pPr>
              <w:pStyle w:val="Textocomentario"/>
              <w:jc w:val="both"/>
              <w:rPr>
                <w:rFonts w:ascii="Arial" w:hAnsi="Arial" w:cs="Arial"/>
                <w:lang w:val="es-EC"/>
              </w:rPr>
            </w:pPr>
          </w:p>
          <w:p w:rsidR="00E306CA" w:rsidRPr="008F7668" w:rsidRDefault="00E306CA" w:rsidP="00E306CA">
            <w:pPr>
              <w:pStyle w:val="Textocomentario"/>
              <w:jc w:val="both"/>
              <w:rPr>
                <w:rFonts w:ascii="Arial" w:hAnsi="Arial" w:cs="Arial"/>
              </w:rPr>
            </w:pPr>
            <w:r w:rsidRPr="008F7668">
              <w:rPr>
                <w:rFonts w:ascii="Arial" w:hAnsi="Arial" w:cs="Arial"/>
                <w:b/>
              </w:rPr>
              <w:t>Objetivo 10:</w:t>
            </w:r>
            <w:r w:rsidRPr="008F7668">
              <w:rPr>
                <w:rFonts w:ascii="Arial" w:hAnsi="Arial" w:cs="Arial"/>
              </w:rPr>
              <w:t xml:space="preserve"> Reducir la desigualdad dentro y entre países.</w:t>
            </w:r>
          </w:p>
          <w:p w:rsidR="008F7668" w:rsidRPr="008F7668" w:rsidRDefault="008F7668" w:rsidP="00E306CA">
            <w:pPr>
              <w:pStyle w:val="Textocomentario"/>
              <w:jc w:val="both"/>
              <w:rPr>
                <w:rFonts w:ascii="Arial" w:hAnsi="Arial" w:cs="Arial"/>
                <w:b/>
              </w:rPr>
            </w:pPr>
          </w:p>
          <w:p w:rsidR="00D771F3" w:rsidRPr="008F7668" w:rsidRDefault="00E306CA" w:rsidP="00E306CA">
            <w:pPr>
              <w:pStyle w:val="Textocomentario"/>
              <w:jc w:val="both"/>
              <w:rPr>
                <w:rFonts w:ascii="Arial" w:hAnsi="Arial" w:cs="Arial"/>
              </w:rPr>
            </w:pPr>
            <w:r w:rsidRPr="008F7668">
              <w:rPr>
                <w:rFonts w:ascii="Arial" w:hAnsi="Arial" w:cs="Arial"/>
                <w:b/>
              </w:rPr>
              <w:t>Meta 10.5</w:t>
            </w:r>
            <w:r w:rsidR="00F40CB5" w:rsidRPr="008F7668">
              <w:rPr>
                <w:rFonts w:ascii="Arial" w:hAnsi="Arial" w:cs="Arial"/>
                <w:b/>
              </w:rPr>
              <w:t>:</w:t>
            </w:r>
            <w:r w:rsidRPr="008F7668">
              <w:rPr>
                <w:rFonts w:ascii="Arial" w:hAnsi="Arial" w:cs="Arial"/>
              </w:rPr>
              <w:t xml:space="preserve"> Mejorar la regulación y supervisión de los mercados financieros globales y de las instituciones y fortalecer la aplicación de dichas normas.</w:t>
            </w:r>
          </w:p>
        </w:tc>
      </w:tr>
      <w:tr w:rsidR="00AF0A6D" w:rsidRPr="008F7668" w:rsidTr="00F44A9A">
        <w:trPr>
          <w:trHeight w:val="669"/>
          <w:tblCellSpacing w:w="20" w:type="dxa"/>
        </w:trPr>
        <w:tc>
          <w:tcPr>
            <w:tcW w:w="2383" w:type="pct"/>
            <w:gridSpan w:val="3"/>
            <w:shd w:val="clear" w:color="auto" w:fill="C6D9F1"/>
            <w:vAlign w:val="center"/>
          </w:tcPr>
          <w:p w:rsidR="00AF0A6D" w:rsidRPr="008F7668" w:rsidRDefault="00AF0A6D" w:rsidP="00004233">
            <w:pPr>
              <w:rPr>
                <w:rFonts w:ascii="Arial" w:eastAsia="Times New Roman" w:hAnsi="Arial" w:cs="Arial"/>
                <w:b/>
                <w:bCs/>
                <w:sz w:val="20"/>
                <w:szCs w:val="20"/>
              </w:rPr>
            </w:pPr>
            <w:r w:rsidRPr="008F7668">
              <w:rPr>
                <w:rFonts w:ascii="Arial" w:eastAsia="Times New Roman" w:hAnsi="Arial" w:cs="Arial"/>
                <w:b/>
                <w:bCs/>
                <w:sz w:val="20"/>
                <w:szCs w:val="20"/>
              </w:rPr>
              <w:t>CLASIFICADOR</w:t>
            </w:r>
            <w:r w:rsidR="0067205B" w:rsidRPr="008F7668">
              <w:rPr>
                <w:rFonts w:ascii="Arial" w:eastAsia="Times New Roman" w:hAnsi="Arial" w:cs="Arial"/>
                <w:b/>
                <w:bCs/>
                <w:sz w:val="20"/>
                <w:szCs w:val="20"/>
              </w:rPr>
              <w:t xml:space="preserve"> TEMÁTICO</w:t>
            </w:r>
          </w:p>
        </w:tc>
        <w:tc>
          <w:tcPr>
            <w:tcW w:w="1253" w:type="pct"/>
            <w:shd w:val="clear" w:color="auto" w:fill="auto"/>
            <w:vAlign w:val="center"/>
          </w:tcPr>
          <w:p w:rsidR="00AF0A6D" w:rsidRPr="008F7668" w:rsidRDefault="00D771F3" w:rsidP="000752AE">
            <w:pPr>
              <w:autoSpaceDE w:val="0"/>
              <w:autoSpaceDN w:val="0"/>
              <w:adjustRightInd w:val="0"/>
              <w:spacing w:after="0" w:line="240" w:lineRule="auto"/>
              <w:jc w:val="both"/>
              <w:rPr>
                <w:rFonts w:ascii="Arial" w:hAnsi="Arial" w:cs="Arial"/>
                <w:iCs/>
                <w:color w:val="000000"/>
                <w:sz w:val="20"/>
                <w:szCs w:val="20"/>
                <w:lang w:eastAsia="en-US"/>
              </w:rPr>
            </w:pPr>
            <w:r w:rsidRPr="008F7668">
              <w:rPr>
                <w:rFonts w:ascii="Arial" w:hAnsi="Arial" w:cs="Arial"/>
                <w:iCs/>
                <w:color w:val="000000"/>
                <w:sz w:val="20"/>
                <w:szCs w:val="20"/>
                <w:lang w:eastAsia="en-US"/>
              </w:rPr>
              <w:t>2. Estadísticas Económicas</w:t>
            </w:r>
          </w:p>
        </w:tc>
        <w:tc>
          <w:tcPr>
            <w:tcW w:w="1283" w:type="pct"/>
            <w:shd w:val="clear" w:color="auto" w:fill="auto"/>
            <w:vAlign w:val="center"/>
          </w:tcPr>
          <w:p w:rsidR="00AF0A6D" w:rsidRPr="008F7668" w:rsidRDefault="008F7668" w:rsidP="000752AE">
            <w:pPr>
              <w:autoSpaceDE w:val="0"/>
              <w:autoSpaceDN w:val="0"/>
              <w:adjustRightInd w:val="0"/>
              <w:spacing w:after="0" w:line="240" w:lineRule="auto"/>
              <w:jc w:val="both"/>
              <w:rPr>
                <w:rFonts w:ascii="Arial" w:hAnsi="Arial" w:cs="Arial"/>
                <w:iCs/>
                <w:color w:val="000000"/>
                <w:sz w:val="20"/>
                <w:szCs w:val="20"/>
                <w:lang w:eastAsia="en-US"/>
              </w:rPr>
            </w:pPr>
            <w:r w:rsidRPr="008F7668">
              <w:rPr>
                <w:rFonts w:ascii="Arial" w:eastAsia="Times New Roman" w:hAnsi="Arial" w:cs="Arial"/>
                <w:color w:val="000000"/>
                <w:sz w:val="20"/>
                <w:szCs w:val="20"/>
              </w:rPr>
              <w:t>2.4.6 Banca, seguros y estadísticas financieras</w:t>
            </w:r>
          </w:p>
        </w:tc>
      </w:tr>
      <w:tr w:rsidR="004E7BA5" w:rsidRPr="008F7668" w:rsidTr="00F44A9A">
        <w:trPr>
          <w:trHeight w:val="982"/>
          <w:tblCellSpacing w:w="20" w:type="dxa"/>
        </w:trPr>
        <w:tc>
          <w:tcPr>
            <w:tcW w:w="2383" w:type="pct"/>
            <w:gridSpan w:val="3"/>
            <w:shd w:val="clear" w:color="auto" w:fill="C6D9F1"/>
            <w:vAlign w:val="center"/>
          </w:tcPr>
          <w:p w:rsidR="004E7BA5" w:rsidRPr="008F7668" w:rsidRDefault="004E7BA5" w:rsidP="00004233">
            <w:pPr>
              <w:rPr>
                <w:rFonts w:ascii="Arial" w:eastAsia="Times New Roman" w:hAnsi="Arial" w:cs="Arial"/>
                <w:b/>
                <w:bCs/>
                <w:sz w:val="20"/>
                <w:szCs w:val="20"/>
              </w:rPr>
            </w:pPr>
            <w:r w:rsidRPr="008F7668">
              <w:rPr>
                <w:rFonts w:ascii="Arial" w:eastAsia="Times New Roman" w:hAnsi="Arial" w:cs="Arial"/>
                <w:b/>
                <w:bCs/>
                <w:sz w:val="20"/>
                <w:szCs w:val="20"/>
              </w:rPr>
              <w:t>REFERENCIAS BIBLIOGRÁFICAS DE LA CONSTRUCCIÓN DEL INDICADOR</w:t>
            </w:r>
          </w:p>
        </w:tc>
        <w:tc>
          <w:tcPr>
            <w:tcW w:w="2556" w:type="pct"/>
            <w:gridSpan w:val="2"/>
            <w:shd w:val="clear" w:color="auto" w:fill="auto"/>
            <w:vAlign w:val="center"/>
          </w:tcPr>
          <w:p w:rsidR="0073410E" w:rsidRPr="008F7668" w:rsidRDefault="000752AE" w:rsidP="00D771F3">
            <w:pPr>
              <w:pStyle w:val="Prrafodelista"/>
              <w:numPr>
                <w:ilvl w:val="0"/>
                <w:numId w:val="32"/>
              </w:numPr>
              <w:autoSpaceDE w:val="0"/>
              <w:autoSpaceDN w:val="0"/>
              <w:adjustRightInd w:val="0"/>
              <w:spacing w:after="0" w:line="240" w:lineRule="auto"/>
              <w:jc w:val="both"/>
              <w:rPr>
                <w:rFonts w:ascii="Arial" w:hAnsi="Arial" w:cs="Arial"/>
                <w:iCs/>
                <w:color w:val="000000"/>
                <w:sz w:val="20"/>
                <w:szCs w:val="20"/>
                <w:lang w:eastAsia="en-US"/>
              </w:rPr>
            </w:pPr>
            <w:r w:rsidRPr="008F7668">
              <w:rPr>
                <w:rFonts w:ascii="Arial" w:hAnsi="Arial" w:cs="Arial"/>
                <w:iCs/>
                <w:color w:val="000000"/>
                <w:sz w:val="20"/>
                <w:szCs w:val="20"/>
                <w:lang w:eastAsia="en-US"/>
              </w:rPr>
              <w:t xml:space="preserve">Indicadores de solidez financiera: Guía </w:t>
            </w:r>
            <w:r w:rsidR="00D771F3" w:rsidRPr="008F7668">
              <w:rPr>
                <w:rFonts w:ascii="Arial" w:hAnsi="Arial" w:cs="Arial"/>
                <w:iCs/>
                <w:color w:val="000000"/>
                <w:sz w:val="20"/>
                <w:szCs w:val="20"/>
                <w:lang w:eastAsia="en-US"/>
              </w:rPr>
              <w:t>de compilación—Washington, D.C.</w:t>
            </w:r>
            <w:r w:rsidRPr="008F7668">
              <w:rPr>
                <w:rFonts w:ascii="Arial" w:hAnsi="Arial" w:cs="Arial"/>
                <w:iCs/>
                <w:color w:val="000000"/>
                <w:sz w:val="20"/>
                <w:szCs w:val="20"/>
                <w:lang w:eastAsia="en-US"/>
              </w:rPr>
              <w:t>: Fondo</w:t>
            </w:r>
            <w:r w:rsidR="00D771F3" w:rsidRPr="008F7668">
              <w:rPr>
                <w:rFonts w:ascii="Arial" w:hAnsi="Arial" w:cs="Arial"/>
                <w:iCs/>
                <w:color w:val="000000"/>
                <w:sz w:val="20"/>
                <w:szCs w:val="20"/>
                <w:lang w:eastAsia="en-US"/>
              </w:rPr>
              <w:t xml:space="preserve"> </w:t>
            </w:r>
            <w:r w:rsidR="0073410E" w:rsidRPr="008F7668">
              <w:rPr>
                <w:rFonts w:ascii="Arial" w:hAnsi="Arial" w:cs="Arial"/>
                <w:iCs/>
                <w:color w:val="000000"/>
                <w:sz w:val="20"/>
                <w:szCs w:val="20"/>
                <w:lang w:eastAsia="en-US"/>
              </w:rPr>
              <w:t>Monetario Internacional, 2006.</w:t>
            </w:r>
          </w:p>
          <w:p w:rsidR="00D771F3" w:rsidRPr="008F7668" w:rsidRDefault="00BA301E" w:rsidP="00D771F3">
            <w:pPr>
              <w:pStyle w:val="Prrafodelista"/>
              <w:numPr>
                <w:ilvl w:val="0"/>
                <w:numId w:val="32"/>
              </w:numPr>
              <w:autoSpaceDE w:val="0"/>
              <w:autoSpaceDN w:val="0"/>
              <w:adjustRightInd w:val="0"/>
              <w:spacing w:after="0" w:line="240" w:lineRule="auto"/>
              <w:jc w:val="both"/>
              <w:rPr>
                <w:rFonts w:ascii="Arial" w:hAnsi="Arial" w:cs="Arial"/>
                <w:iCs/>
                <w:color w:val="000000"/>
                <w:sz w:val="20"/>
                <w:szCs w:val="20"/>
                <w:lang w:eastAsia="en-US"/>
              </w:rPr>
            </w:pPr>
            <w:r w:rsidRPr="008F7668">
              <w:rPr>
                <w:rFonts w:ascii="Arial" w:hAnsi="Arial" w:cs="Arial"/>
                <w:iCs/>
                <w:color w:val="000000"/>
                <w:sz w:val="20"/>
                <w:szCs w:val="20"/>
                <w:lang w:eastAsia="en-US"/>
              </w:rPr>
              <w:t>Catálogo único de C</w:t>
            </w:r>
            <w:r w:rsidR="0073410E" w:rsidRPr="008F7668">
              <w:rPr>
                <w:rFonts w:ascii="Arial" w:hAnsi="Arial" w:cs="Arial"/>
                <w:iCs/>
                <w:color w:val="000000"/>
                <w:sz w:val="20"/>
                <w:szCs w:val="20"/>
                <w:lang w:eastAsia="en-US"/>
              </w:rPr>
              <w:t>uentas</w:t>
            </w:r>
            <w:r w:rsidRPr="008F7668">
              <w:rPr>
                <w:rFonts w:ascii="Arial" w:hAnsi="Arial" w:cs="Arial"/>
                <w:iCs/>
                <w:color w:val="000000"/>
                <w:sz w:val="20"/>
                <w:szCs w:val="20"/>
                <w:lang w:eastAsia="en-US"/>
              </w:rPr>
              <w:t>.</w:t>
            </w:r>
            <w:r w:rsidR="0073410E" w:rsidRPr="008F7668">
              <w:rPr>
                <w:rFonts w:ascii="Arial" w:hAnsi="Arial" w:cs="Arial"/>
                <w:iCs/>
                <w:color w:val="000000"/>
                <w:sz w:val="20"/>
                <w:szCs w:val="20"/>
                <w:lang w:eastAsia="en-US"/>
              </w:rPr>
              <w:t xml:space="preserve"> </w:t>
            </w:r>
          </w:p>
        </w:tc>
      </w:tr>
      <w:tr w:rsidR="004E7BA5" w:rsidRPr="008F7668" w:rsidTr="00F44A9A">
        <w:trPr>
          <w:trHeight w:val="388"/>
          <w:tblCellSpacing w:w="20" w:type="dxa"/>
        </w:trPr>
        <w:tc>
          <w:tcPr>
            <w:tcW w:w="2383" w:type="pct"/>
            <w:gridSpan w:val="3"/>
            <w:shd w:val="clear" w:color="auto" w:fill="C6D9F1"/>
            <w:vAlign w:val="center"/>
            <w:hideMark/>
          </w:tcPr>
          <w:p w:rsidR="004E7BA5" w:rsidRPr="008F7668" w:rsidRDefault="004E7BA5" w:rsidP="00004233">
            <w:pPr>
              <w:rPr>
                <w:rFonts w:ascii="Arial" w:eastAsia="Times New Roman" w:hAnsi="Arial" w:cs="Arial"/>
                <w:b/>
                <w:bCs/>
                <w:sz w:val="20"/>
                <w:szCs w:val="20"/>
              </w:rPr>
            </w:pPr>
            <w:r w:rsidRPr="008F7668">
              <w:rPr>
                <w:rFonts w:ascii="Arial" w:eastAsia="Times New Roman" w:hAnsi="Arial" w:cs="Arial"/>
                <w:b/>
                <w:bCs/>
                <w:sz w:val="20"/>
                <w:szCs w:val="20"/>
              </w:rPr>
              <w:t>FECHA DE ELABORACIÓN DE LA FICHA METODOLÓGICA</w:t>
            </w:r>
          </w:p>
        </w:tc>
        <w:tc>
          <w:tcPr>
            <w:tcW w:w="2556" w:type="pct"/>
            <w:gridSpan w:val="2"/>
            <w:shd w:val="clear" w:color="auto" w:fill="auto"/>
            <w:vAlign w:val="center"/>
            <w:hideMark/>
          </w:tcPr>
          <w:p w:rsidR="004E7BA5" w:rsidRPr="008F7668" w:rsidRDefault="00D771F3" w:rsidP="007235A9">
            <w:pPr>
              <w:jc w:val="both"/>
              <w:rPr>
                <w:rFonts w:ascii="Arial" w:eastAsia="Times New Roman" w:hAnsi="Arial" w:cs="Arial"/>
                <w:color w:val="000000"/>
                <w:sz w:val="20"/>
                <w:szCs w:val="20"/>
              </w:rPr>
            </w:pPr>
            <w:r w:rsidRPr="008F7668">
              <w:rPr>
                <w:rFonts w:ascii="Arial" w:eastAsia="Times New Roman" w:hAnsi="Arial" w:cs="Arial"/>
                <w:color w:val="000000"/>
                <w:sz w:val="20"/>
                <w:szCs w:val="20"/>
              </w:rPr>
              <w:t>13/10/</w:t>
            </w:r>
            <w:r w:rsidR="000752AE" w:rsidRPr="008F7668">
              <w:rPr>
                <w:rFonts w:ascii="Arial" w:eastAsia="Times New Roman" w:hAnsi="Arial" w:cs="Arial"/>
                <w:color w:val="000000"/>
                <w:sz w:val="20"/>
                <w:szCs w:val="20"/>
              </w:rPr>
              <w:t>2016</w:t>
            </w:r>
          </w:p>
        </w:tc>
      </w:tr>
      <w:tr w:rsidR="004E7BA5" w:rsidRPr="008F7668" w:rsidTr="00F44A9A">
        <w:trPr>
          <w:trHeight w:val="372"/>
          <w:tblCellSpacing w:w="20" w:type="dxa"/>
        </w:trPr>
        <w:tc>
          <w:tcPr>
            <w:tcW w:w="2383" w:type="pct"/>
            <w:gridSpan w:val="3"/>
            <w:shd w:val="clear" w:color="auto" w:fill="C6D9F1"/>
            <w:vAlign w:val="center"/>
            <w:hideMark/>
          </w:tcPr>
          <w:p w:rsidR="004E7BA5" w:rsidRPr="008F7668" w:rsidRDefault="004E7BA5" w:rsidP="00004233">
            <w:pPr>
              <w:rPr>
                <w:rFonts w:ascii="Arial" w:eastAsia="Times New Roman" w:hAnsi="Arial" w:cs="Arial"/>
                <w:b/>
                <w:bCs/>
                <w:sz w:val="20"/>
                <w:szCs w:val="20"/>
              </w:rPr>
            </w:pPr>
            <w:r w:rsidRPr="008F7668">
              <w:rPr>
                <w:rFonts w:ascii="Arial" w:eastAsia="Times New Roman" w:hAnsi="Arial" w:cs="Arial"/>
                <w:b/>
                <w:bCs/>
                <w:sz w:val="20"/>
                <w:szCs w:val="20"/>
              </w:rPr>
              <w:t>FECHA DE LA ÚLTIMA ACTUALIZACIÓN DE LA FICHA</w:t>
            </w:r>
          </w:p>
        </w:tc>
        <w:tc>
          <w:tcPr>
            <w:tcW w:w="2556" w:type="pct"/>
            <w:gridSpan w:val="2"/>
            <w:shd w:val="clear" w:color="auto" w:fill="auto"/>
            <w:vAlign w:val="center"/>
            <w:hideMark/>
          </w:tcPr>
          <w:p w:rsidR="004E7BA5" w:rsidRPr="008F7668" w:rsidRDefault="00D771F3" w:rsidP="007C5558">
            <w:pPr>
              <w:jc w:val="both"/>
              <w:rPr>
                <w:rFonts w:ascii="Arial" w:eastAsia="Times New Roman" w:hAnsi="Arial" w:cs="Arial"/>
                <w:color w:val="000000"/>
                <w:sz w:val="20"/>
                <w:szCs w:val="20"/>
              </w:rPr>
            </w:pPr>
            <w:r w:rsidRPr="008F7668">
              <w:rPr>
                <w:rFonts w:ascii="Arial" w:eastAsia="Times New Roman" w:hAnsi="Arial" w:cs="Arial"/>
                <w:color w:val="000000"/>
                <w:sz w:val="20"/>
                <w:szCs w:val="20"/>
              </w:rPr>
              <w:t>09/11/2016</w:t>
            </w:r>
          </w:p>
        </w:tc>
      </w:tr>
      <w:tr w:rsidR="000752AE" w:rsidRPr="008F7668" w:rsidTr="00F44A9A">
        <w:trPr>
          <w:trHeight w:val="847"/>
          <w:tblCellSpacing w:w="20" w:type="dxa"/>
        </w:trPr>
        <w:tc>
          <w:tcPr>
            <w:tcW w:w="2383" w:type="pct"/>
            <w:gridSpan w:val="3"/>
            <w:shd w:val="clear" w:color="auto" w:fill="C6D9F1"/>
            <w:vAlign w:val="center"/>
          </w:tcPr>
          <w:p w:rsidR="000752AE" w:rsidRPr="008F7668" w:rsidRDefault="000752AE" w:rsidP="00004233">
            <w:pPr>
              <w:rPr>
                <w:rFonts w:ascii="Arial" w:eastAsia="Times New Roman" w:hAnsi="Arial" w:cs="Arial"/>
                <w:b/>
                <w:bCs/>
                <w:sz w:val="20"/>
                <w:szCs w:val="20"/>
              </w:rPr>
            </w:pPr>
            <w:r w:rsidRPr="008F7668">
              <w:rPr>
                <w:rFonts w:ascii="Arial" w:eastAsia="Times New Roman" w:hAnsi="Arial" w:cs="Arial"/>
                <w:b/>
                <w:bCs/>
                <w:sz w:val="20"/>
                <w:szCs w:val="20"/>
              </w:rPr>
              <w:t>ELABORADO POR</w:t>
            </w:r>
          </w:p>
        </w:tc>
        <w:tc>
          <w:tcPr>
            <w:tcW w:w="2556" w:type="pct"/>
            <w:gridSpan w:val="2"/>
            <w:shd w:val="clear" w:color="auto" w:fill="auto"/>
            <w:vAlign w:val="center"/>
          </w:tcPr>
          <w:p w:rsidR="00E306CA" w:rsidRPr="008F7668" w:rsidRDefault="00E306CA" w:rsidP="00E306CA">
            <w:pPr>
              <w:jc w:val="both"/>
              <w:rPr>
                <w:rFonts w:ascii="Arial" w:eastAsia="Times New Roman" w:hAnsi="Arial" w:cs="Arial"/>
                <w:color w:val="000000"/>
                <w:sz w:val="20"/>
                <w:szCs w:val="20"/>
              </w:rPr>
            </w:pPr>
            <w:r w:rsidRPr="008F7668">
              <w:rPr>
                <w:rFonts w:ascii="Arial" w:eastAsia="Times New Roman" w:hAnsi="Arial" w:cs="Arial"/>
                <w:color w:val="000000"/>
                <w:sz w:val="20"/>
                <w:szCs w:val="20"/>
              </w:rPr>
              <w:t>Mesa Temática de Estadísticas Económicas</w:t>
            </w:r>
          </w:p>
          <w:p w:rsidR="000752AE" w:rsidRPr="008F7668" w:rsidRDefault="008F7668" w:rsidP="00E306CA">
            <w:pPr>
              <w:jc w:val="both"/>
              <w:rPr>
                <w:rFonts w:ascii="Arial" w:eastAsia="Times New Roman" w:hAnsi="Arial" w:cs="Arial"/>
                <w:color w:val="000000"/>
                <w:sz w:val="20"/>
                <w:szCs w:val="20"/>
              </w:rPr>
            </w:pPr>
            <w:r w:rsidRPr="008F7668">
              <w:rPr>
                <w:rFonts w:ascii="Arial" w:eastAsia="Times New Roman" w:hAnsi="Arial" w:cs="Arial"/>
                <w:color w:val="000000"/>
                <w:sz w:val="20"/>
                <w:szCs w:val="20"/>
              </w:rPr>
              <w:t xml:space="preserve">Responsable: </w:t>
            </w:r>
            <w:r w:rsidR="00E306CA" w:rsidRPr="008F7668">
              <w:rPr>
                <w:rFonts w:ascii="Arial" w:eastAsia="Times New Roman" w:hAnsi="Arial" w:cs="Arial"/>
                <w:color w:val="000000"/>
                <w:sz w:val="20"/>
                <w:szCs w:val="20"/>
              </w:rPr>
              <w:t>Superintendencia de Bancos – Dirección Nacional de Estudios e Información</w:t>
            </w:r>
          </w:p>
        </w:tc>
      </w:tr>
      <w:tr w:rsidR="000752AE" w:rsidRPr="008F7668" w:rsidTr="004E4B6E">
        <w:trPr>
          <w:trHeight w:val="513"/>
          <w:tblCellSpacing w:w="20" w:type="dxa"/>
        </w:trPr>
        <w:tc>
          <w:tcPr>
            <w:tcW w:w="4959" w:type="pct"/>
            <w:gridSpan w:val="5"/>
            <w:shd w:val="clear" w:color="auto" w:fill="548DD4" w:themeFill="text2" w:themeFillTint="99"/>
            <w:vAlign w:val="center"/>
          </w:tcPr>
          <w:p w:rsidR="000752AE" w:rsidRPr="008F7668" w:rsidRDefault="000752AE" w:rsidP="000320E4">
            <w:pPr>
              <w:spacing w:after="0"/>
              <w:jc w:val="center"/>
              <w:rPr>
                <w:rFonts w:ascii="Arial" w:eastAsia="Times New Roman" w:hAnsi="Arial" w:cs="Arial"/>
                <w:b/>
                <w:bCs/>
                <w:sz w:val="20"/>
                <w:szCs w:val="20"/>
              </w:rPr>
            </w:pPr>
            <w:r w:rsidRPr="008F7668">
              <w:rPr>
                <w:rFonts w:ascii="Arial" w:eastAsia="Times New Roman" w:hAnsi="Arial" w:cs="Arial"/>
                <w:b/>
                <w:bCs/>
                <w:sz w:val="20"/>
                <w:szCs w:val="20"/>
              </w:rPr>
              <w:t>ANEXOS</w:t>
            </w:r>
          </w:p>
        </w:tc>
      </w:tr>
      <w:tr w:rsidR="000752AE" w:rsidRPr="008F7668" w:rsidTr="004E4B6E">
        <w:trPr>
          <w:trHeight w:val="513"/>
          <w:tblCellSpacing w:w="20" w:type="dxa"/>
        </w:trPr>
        <w:tc>
          <w:tcPr>
            <w:tcW w:w="4959" w:type="pct"/>
            <w:gridSpan w:val="5"/>
            <w:shd w:val="clear" w:color="auto" w:fill="548DD4" w:themeFill="text2" w:themeFillTint="99"/>
            <w:vAlign w:val="center"/>
          </w:tcPr>
          <w:p w:rsidR="000752AE" w:rsidRPr="008F7668" w:rsidRDefault="000752AE" w:rsidP="000320E4">
            <w:pPr>
              <w:spacing w:after="0"/>
              <w:jc w:val="center"/>
              <w:rPr>
                <w:rFonts w:ascii="Arial" w:eastAsia="Times New Roman" w:hAnsi="Arial" w:cs="Arial"/>
                <w:b/>
                <w:bCs/>
                <w:sz w:val="20"/>
                <w:szCs w:val="20"/>
              </w:rPr>
            </w:pPr>
          </w:p>
        </w:tc>
      </w:tr>
      <w:tr w:rsidR="000752AE" w:rsidRPr="008F7668" w:rsidTr="000320E4">
        <w:trPr>
          <w:trHeight w:val="513"/>
          <w:tblCellSpacing w:w="20" w:type="dxa"/>
        </w:trPr>
        <w:tc>
          <w:tcPr>
            <w:tcW w:w="4959" w:type="pct"/>
            <w:gridSpan w:val="5"/>
            <w:shd w:val="clear" w:color="auto" w:fill="C6D9F1"/>
            <w:vAlign w:val="center"/>
            <w:hideMark/>
          </w:tcPr>
          <w:p w:rsidR="000752AE" w:rsidRPr="008F7668" w:rsidRDefault="000752AE" w:rsidP="000320E4">
            <w:pPr>
              <w:spacing w:after="0"/>
              <w:jc w:val="center"/>
              <w:rPr>
                <w:rFonts w:ascii="Arial" w:eastAsia="Times New Roman" w:hAnsi="Arial" w:cs="Arial"/>
                <w:b/>
                <w:bCs/>
                <w:sz w:val="20"/>
                <w:szCs w:val="20"/>
              </w:rPr>
            </w:pPr>
            <w:r w:rsidRPr="008F7668">
              <w:rPr>
                <w:rFonts w:ascii="Arial" w:eastAsia="Times New Roman" w:hAnsi="Arial" w:cs="Arial"/>
                <w:b/>
                <w:bCs/>
                <w:sz w:val="20"/>
                <w:szCs w:val="20"/>
              </w:rPr>
              <w:t>SINTAXIS</w:t>
            </w:r>
            <w:r w:rsidR="00026754" w:rsidRPr="008F7668">
              <w:rPr>
                <w:rFonts w:ascii="Arial" w:eastAsia="Times New Roman" w:hAnsi="Arial" w:cs="Arial"/>
                <w:b/>
                <w:bCs/>
                <w:sz w:val="20"/>
                <w:szCs w:val="20"/>
              </w:rPr>
              <w:t xml:space="preserve">: </w:t>
            </w:r>
          </w:p>
          <w:p w:rsidR="00026754" w:rsidRPr="008F7668" w:rsidRDefault="00026754" w:rsidP="00026754">
            <w:pPr>
              <w:jc w:val="both"/>
              <w:rPr>
                <w:rFonts w:ascii="Arial" w:hAnsi="Arial" w:cs="Arial"/>
                <w:sz w:val="20"/>
                <w:szCs w:val="20"/>
              </w:rPr>
            </w:pPr>
          </w:p>
        </w:tc>
      </w:tr>
      <w:tr w:rsidR="000752AE" w:rsidRPr="008F7668" w:rsidTr="008F530F">
        <w:trPr>
          <w:trHeight w:val="513"/>
          <w:tblCellSpacing w:w="20" w:type="dxa"/>
        </w:trPr>
        <w:tc>
          <w:tcPr>
            <w:tcW w:w="4959" w:type="pct"/>
            <w:gridSpan w:val="5"/>
            <w:tcBorders>
              <w:top w:val="outset" w:sz="6" w:space="0" w:color="auto"/>
              <w:bottom w:val="outset" w:sz="6" w:space="0" w:color="auto"/>
            </w:tcBorders>
            <w:shd w:val="clear" w:color="auto" w:fill="FFFFFF"/>
            <w:vAlign w:val="center"/>
          </w:tcPr>
          <w:p w:rsidR="000752AE" w:rsidRPr="008F7668" w:rsidRDefault="000752AE" w:rsidP="00C26D32">
            <w:pPr>
              <w:spacing w:after="0"/>
              <w:rPr>
                <w:rFonts w:ascii="Arial" w:eastAsia="Times New Roman" w:hAnsi="Arial" w:cs="Arial"/>
                <w:sz w:val="20"/>
                <w:szCs w:val="20"/>
              </w:rPr>
            </w:pPr>
            <w:r w:rsidRPr="008F7668">
              <w:rPr>
                <w:rFonts w:ascii="Arial" w:hAnsi="Arial" w:cs="Arial"/>
                <w:color w:val="000000"/>
                <w:sz w:val="20"/>
                <w:szCs w:val="20"/>
              </w:rPr>
              <w:lastRenderedPageBreak/>
              <w:t xml:space="preserve">  </w:t>
            </w:r>
            <w:r w:rsidRPr="008F7668">
              <w:rPr>
                <w:rFonts w:ascii="Arial" w:eastAsia="Times New Roman" w:hAnsi="Arial" w:cs="Arial"/>
                <w:sz w:val="20"/>
                <w:szCs w:val="20"/>
              </w:rPr>
              <w:t xml:space="preserve"> </w:t>
            </w:r>
          </w:p>
        </w:tc>
      </w:tr>
    </w:tbl>
    <w:p w:rsidR="001A2F76" w:rsidRDefault="001A2F76" w:rsidP="00BB3B14">
      <w:pPr>
        <w:spacing w:after="0" w:line="240" w:lineRule="auto"/>
        <w:jc w:val="both"/>
        <w:rPr>
          <w:rFonts w:asciiTheme="minorHAnsi" w:hAnsiTheme="minorHAnsi" w:cstheme="minorHAnsi"/>
          <w:b/>
        </w:rPr>
      </w:pPr>
    </w:p>
    <w:sectPr w:rsidR="001A2F76" w:rsidSect="009B1DB6">
      <w:headerReference w:type="default" r:id="rId9"/>
      <w:footerReference w:type="default" r:id="rId10"/>
      <w:pgSz w:w="12240" w:h="15840"/>
      <w:pgMar w:top="1418" w:right="1701" w:bottom="1418" w:left="1701" w:header="0"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312C" w:rsidRDefault="00E0312C" w:rsidP="00004233">
      <w:pPr>
        <w:spacing w:after="0" w:line="240" w:lineRule="auto"/>
      </w:pPr>
      <w:r>
        <w:separator/>
      </w:r>
    </w:p>
  </w:endnote>
  <w:endnote w:type="continuationSeparator" w:id="0">
    <w:p w:rsidR="00E0312C" w:rsidRDefault="00E0312C" w:rsidP="00004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w Cen MT">
    <w:panose1 w:val="020B0602020104020603"/>
    <w:charset w:val="00"/>
    <w:family w:val="swiss"/>
    <w:pitch w:val="variable"/>
    <w:sig w:usb0="00000007" w:usb1="00000000" w:usb2="00000000" w:usb3="00000000" w:csb0="00000003" w:csb1="00000000"/>
  </w:font>
  <w:font w:name="Batang">
    <w:altName w:val="바탕"/>
    <w:panose1 w:val="02030600000101010101"/>
    <w:charset w:val="81"/>
    <w:family w:val="roman"/>
    <w:pitch w:val="variable"/>
    <w:sig w:usb0="B00002AF" w:usb1="69D77CFB" w:usb2="00000030" w:usb3="00000000" w:csb0="0008009F" w:csb1="00000000"/>
  </w:font>
  <w:font w:name="Times-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8699044"/>
      <w:docPartObj>
        <w:docPartGallery w:val="Page Numbers (Bottom of Page)"/>
        <w:docPartUnique/>
      </w:docPartObj>
    </w:sdtPr>
    <w:sdtEndPr/>
    <w:sdtContent>
      <w:p w:rsidR="00041571" w:rsidRDefault="00041571">
        <w:pPr>
          <w:pStyle w:val="Piedepgina"/>
          <w:jc w:val="center"/>
        </w:pPr>
        <w:r>
          <w:fldChar w:fldCharType="begin"/>
        </w:r>
        <w:r>
          <w:instrText>PAGE   \* MERGEFORMAT</w:instrText>
        </w:r>
        <w:r>
          <w:fldChar w:fldCharType="separate"/>
        </w:r>
        <w:r w:rsidR="009569B6" w:rsidRPr="009569B6">
          <w:rPr>
            <w:noProof/>
            <w:lang w:val="es-ES"/>
          </w:rPr>
          <w:t>2</w:t>
        </w:r>
        <w:r>
          <w:fldChar w:fldCharType="end"/>
        </w:r>
      </w:p>
    </w:sdtContent>
  </w:sdt>
  <w:p w:rsidR="00041571" w:rsidRDefault="0004157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312C" w:rsidRDefault="00E0312C" w:rsidP="00004233">
      <w:pPr>
        <w:spacing w:after="0" w:line="240" w:lineRule="auto"/>
      </w:pPr>
      <w:r>
        <w:separator/>
      </w:r>
    </w:p>
  </w:footnote>
  <w:footnote w:type="continuationSeparator" w:id="0">
    <w:p w:rsidR="00E0312C" w:rsidRDefault="00E0312C" w:rsidP="00004233">
      <w:pPr>
        <w:spacing w:after="0" w:line="240" w:lineRule="auto"/>
      </w:pPr>
      <w:r>
        <w:continuationSeparator/>
      </w:r>
    </w:p>
  </w:footnote>
  <w:footnote w:id="1">
    <w:p w:rsidR="00121512" w:rsidRPr="00121512" w:rsidRDefault="00121512">
      <w:pPr>
        <w:pStyle w:val="Textonotapie"/>
        <w:rPr>
          <w:sz w:val="16"/>
          <w:szCs w:val="16"/>
        </w:rPr>
      </w:pPr>
      <w:r w:rsidRPr="00121512">
        <w:rPr>
          <w:rStyle w:val="Refdenotaalpie"/>
          <w:sz w:val="16"/>
          <w:szCs w:val="16"/>
        </w:rPr>
        <w:footnoteRef/>
      </w:r>
      <w:r w:rsidRPr="00121512">
        <w:rPr>
          <w:sz w:val="16"/>
          <w:szCs w:val="16"/>
        </w:rPr>
        <w:t xml:space="preserve"> </w:t>
      </w:r>
      <w:proofErr w:type="spellStart"/>
      <w:r w:rsidRPr="00121512">
        <w:rPr>
          <w:sz w:val="16"/>
          <w:szCs w:val="16"/>
        </w:rPr>
        <w:t>Guia</w:t>
      </w:r>
      <w:proofErr w:type="spellEnd"/>
      <w:r w:rsidRPr="00121512">
        <w:rPr>
          <w:sz w:val="16"/>
          <w:szCs w:val="16"/>
        </w:rPr>
        <w:t xml:space="preserve"> de Compilación de los Indicadores de Solidez Financiera, Fondo Monetario Internacional, Washington D.C. 4.17, página 30.</w:t>
      </w:r>
    </w:p>
  </w:footnote>
  <w:footnote w:id="2">
    <w:p w:rsidR="00D968AD" w:rsidRPr="00D968AD" w:rsidRDefault="00D968AD">
      <w:pPr>
        <w:pStyle w:val="Textonotapie"/>
        <w:rPr>
          <w:sz w:val="16"/>
          <w:szCs w:val="16"/>
        </w:rPr>
      </w:pPr>
      <w:r w:rsidRPr="00D968AD">
        <w:rPr>
          <w:rStyle w:val="Refdenotaalpie"/>
          <w:sz w:val="16"/>
          <w:szCs w:val="16"/>
        </w:rPr>
        <w:footnoteRef/>
      </w:r>
      <w:r w:rsidRPr="00D968AD">
        <w:rPr>
          <w:sz w:val="16"/>
          <w:szCs w:val="16"/>
        </w:rPr>
        <w:t xml:space="preserve"> De acuerdo con el Catálogo único de Cuentas para instituciones financieras</w:t>
      </w:r>
      <w:r>
        <w:rPr>
          <w:sz w:val="16"/>
          <w:szCs w:val="16"/>
        </w:rPr>
        <w:t>, aprobado con Resolución SB-2015-220 de 1 de Abril de 2015.</w:t>
      </w:r>
    </w:p>
  </w:footnote>
  <w:footnote w:id="3">
    <w:p w:rsidR="00AF0A6D" w:rsidRDefault="00AF0A6D">
      <w:pPr>
        <w:pStyle w:val="Textonotapie"/>
      </w:pPr>
      <w:r>
        <w:rPr>
          <w:rStyle w:val="Refdenotaalpie"/>
        </w:rPr>
        <w:footnoteRef/>
      </w:r>
      <w:proofErr w:type="spellStart"/>
      <w:r w:rsidRPr="00121512">
        <w:rPr>
          <w:sz w:val="16"/>
          <w:szCs w:val="16"/>
        </w:rPr>
        <w:t>Guia</w:t>
      </w:r>
      <w:proofErr w:type="spellEnd"/>
      <w:r w:rsidRPr="00121512">
        <w:rPr>
          <w:sz w:val="16"/>
          <w:szCs w:val="16"/>
        </w:rPr>
        <w:t xml:space="preserve"> de Compilación de los Indicadores de Solidez Financiera, Fondo Monetario Internacional, Washington D.C. </w:t>
      </w:r>
      <w:r>
        <w:rPr>
          <w:sz w:val="16"/>
          <w:szCs w:val="16"/>
        </w:rPr>
        <w:t>4.20</w:t>
      </w:r>
      <w:r w:rsidRPr="00121512">
        <w:rPr>
          <w:sz w:val="16"/>
          <w:szCs w:val="16"/>
        </w:rPr>
        <w:t xml:space="preserve">, página </w:t>
      </w:r>
      <w:r>
        <w:rPr>
          <w:sz w:val="16"/>
          <w:szCs w:val="16"/>
        </w:rPr>
        <w:t>33.</w:t>
      </w:r>
    </w:p>
  </w:footnote>
  <w:footnote w:id="4">
    <w:p w:rsidR="008F7668" w:rsidRPr="00E57B12" w:rsidRDefault="008F7668" w:rsidP="009569B6">
      <w:pPr>
        <w:autoSpaceDE w:val="0"/>
        <w:autoSpaceDN w:val="0"/>
        <w:adjustRightInd w:val="0"/>
        <w:spacing w:after="0" w:line="240" w:lineRule="auto"/>
        <w:jc w:val="both"/>
        <w:rPr>
          <w:rFonts w:ascii="Arial" w:hAnsi="Arial" w:cs="Arial"/>
          <w:sz w:val="16"/>
          <w:szCs w:val="16"/>
        </w:rPr>
      </w:pPr>
      <w:r w:rsidRPr="00E57B12">
        <w:rPr>
          <w:rStyle w:val="Refdenotaalpie"/>
          <w:rFonts w:ascii="Arial" w:hAnsi="Arial" w:cs="Arial"/>
          <w:sz w:val="16"/>
          <w:szCs w:val="16"/>
        </w:rPr>
        <w:footnoteRef/>
      </w:r>
      <w:r w:rsidRPr="00E57B12">
        <w:rPr>
          <w:rFonts w:ascii="Arial" w:hAnsi="Arial" w:cs="Arial"/>
          <w:sz w:val="16"/>
          <w:szCs w:val="16"/>
        </w:rPr>
        <w:t xml:space="preserve"> </w:t>
      </w:r>
      <w:r w:rsidR="009569B6">
        <w:rPr>
          <w:rFonts w:ascii="Arial" w:hAnsi="Arial" w:cs="Arial"/>
          <w:sz w:val="16"/>
          <w:szCs w:val="16"/>
        </w:rPr>
        <w:t xml:space="preserve">FMI, Indicadores de Solidez Financiera, Guía de Compilación, 2006, p. 93. </w:t>
      </w:r>
      <w:r w:rsidRPr="00E57B12">
        <w:rPr>
          <w:rFonts w:ascii="Arial" w:hAnsi="Arial" w:cs="Arial"/>
          <w:sz w:val="16"/>
          <w:szCs w:val="16"/>
          <w:lang w:val="es-ES_tradnl"/>
        </w:rPr>
        <w:t>E</w:t>
      </w:r>
      <w:proofErr w:type="spellStart"/>
      <w:r w:rsidRPr="00E57B12">
        <w:rPr>
          <w:rFonts w:ascii="Arial" w:hAnsi="Arial" w:cs="Arial"/>
          <w:sz w:val="16"/>
          <w:szCs w:val="16"/>
        </w:rPr>
        <w:t>ste</w:t>
      </w:r>
      <w:proofErr w:type="spellEnd"/>
      <w:r w:rsidRPr="00E57B12">
        <w:rPr>
          <w:rFonts w:ascii="Arial" w:hAnsi="Arial" w:cs="Arial"/>
          <w:sz w:val="16"/>
          <w:szCs w:val="16"/>
        </w:rPr>
        <w:t xml:space="preserve"> indicador mide la proporción que representa el ingreso financiero neto (margen neto de intereses) en relación a total de los ingresos, es un ind</w:t>
      </w:r>
      <w:r w:rsidR="009569B6">
        <w:rPr>
          <w:rFonts w:ascii="Arial" w:hAnsi="Arial" w:cs="Arial"/>
          <w:sz w:val="16"/>
          <w:szCs w:val="16"/>
        </w:rPr>
        <w:t>icador de eficiencia financiera</w:t>
      </w:r>
      <w:bookmarkStart w:id="0" w:name="_GoBack"/>
      <w:bookmarkEnd w:id="0"/>
      <w:r w:rsidRPr="00E57B12">
        <w:rPr>
          <w:rFonts w:ascii="Arial" w:hAnsi="Arial" w:cs="Arial"/>
          <w:sz w:val="16"/>
          <w:szCs w:val="16"/>
        </w:rPr>
        <w:t>.</w:t>
      </w:r>
    </w:p>
  </w:footnote>
  <w:footnote w:id="5">
    <w:p w:rsidR="008F7668" w:rsidRPr="008F7668" w:rsidRDefault="008F7668" w:rsidP="00E57B12">
      <w:pPr>
        <w:pStyle w:val="Textonotapie"/>
        <w:jc w:val="both"/>
        <w:rPr>
          <w:lang w:val="es-ES"/>
        </w:rPr>
      </w:pPr>
      <w:r w:rsidRPr="00E57B12">
        <w:rPr>
          <w:rStyle w:val="Refdenotaalpie"/>
          <w:rFonts w:ascii="Arial" w:hAnsi="Arial" w:cs="Arial"/>
          <w:sz w:val="16"/>
          <w:szCs w:val="16"/>
        </w:rPr>
        <w:footnoteRef/>
      </w:r>
      <w:r w:rsidRPr="00E57B12">
        <w:rPr>
          <w:rFonts w:ascii="Arial" w:hAnsi="Arial" w:cs="Arial"/>
          <w:sz w:val="16"/>
          <w:szCs w:val="16"/>
        </w:rPr>
        <w:t xml:space="preserve"> A nivel nacional (Instituciones financieras bajo el control de la Superintendencia de Bancos).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CB8" w:rsidRDefault="00965CB8" w:rsidP="00C761BA">
    <w:pPr>
      <w:pStyle w:val="Encabezado"/>
      <w:tabs>
        <w:tab w:val="clear" w:pos="8838"/>
        <w:tab w:val="right" w:pos="10632"/>
      </w:tabs>
      <w:ind w:left="-1701" w:right="-165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A5FC1"/>
    <w:multiLevelType w:val="hybridMultilevel"/>
    <w:tmpl w:val="98CE7E0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C9847E6"/>
    <w:multiLevelType w:val="hybridMultilevel"/>
    <w:tmpl w:val="11C069A4"/>
    <w:lvl w:ilvl="0" w:tplc="300A000F">
      <w:start w:val="1"/>
      <w:numFmt w:val="decimal"/>
      <w:lvlText w:val="%1."/>
      <w:lvlJc w:val="left"/>
      <w:pPr>
        <w:ind w:left="720" w:hanging="360"/>
      </w:pPr>
      <w:rPr>
        <w:rFonts w:eastAsia="Times New Roman"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
    <w:nsid w:val="102B729D"/>
    <w:multiLevelType w:val="hybridMultilevel"/>
    <w:tmpl w:val="844278C2"/>
    <w:lvl w:ilvl="0" w:tplc="300A0019">
      <w:start w:val="1"/>
      <w:numFmt w:val="lowerLetter"/>
      <w:lvlText w:val="%1."/>
      <w:lvlJc w:val="left"/>
      <w:pPr>
        <w:ind w:left="1068" w:hanging="360"/>
      </w:pPr>
    </w:lvl>
    <w:lvl w:ilvl="1" w:tplc="300A0019" w:tentative="1">
      <w:start w:val="1"/>
      <w:numFmt w:val="lowerLetter"/>
      <w:lvlText w:val="%2."/>
      <w:lvlJc w:val="left"/>
      <w:pPr>
        <w:ind w:left="1788" w:hanging="360"/>
      </w:pPr>
    </w:lvl>
    <w:lvl w:ilvl="2" w:tplc="300A001B" w:tentative="1">
      <w:start w:val="1"/>
      <w:numFmt w:val="lowerRoman"/>
      <w:lvlText w:val="%3."/>
      <w:lvlJc w:val="right"/>
      <w:pPr>
        <w:ind w:left="2508" w:hanging="180"/>
      </w:pPr>
    </w:lvl>
    <w:lvl w:ilvl="3" w:tplc="300A000F" w:tentative="1">
      <w:start w:val="1"/>
      <w:numFmt w:val="decimal"/>
      <w:lvlText w:val="%4."/>
      <w:lvlJc w:val="left"/>
      <w:pPr>
        <w:ind w:left="3228" w:hanging="360"/>
      </w:pPr>
    </w:lvl>
    <w:lvl w:ilvl="4" w:tplc="300A0019" w:tentative="1">
      <w:start w:val="1"/>
      <w:numFmt w:val="lowerLetter"/>
      <w:lvlText w:val="%5."/>
      <w:lvlJc w:val="left"/>
      <w:pPr>
        <w:ind w:left="3948" w:hanging="360"/>
      </w:pPr>
    </w:lvl>
    <w:lvl w:ilvl="5" w:tplc="300A001B" w:tentative="1">
      <w:start w:val="1"/>
      <w:numFmt w:val="lowerRoman"/>
      <w:lvlText w:val="%6."/>
      <w:lvlJc w:val="right"/>
      <w:pPr>
        <w:ind w:left="4668" w:hanging="180"/>
      </w:pPr>
    </w:lvl>
    <w:lvl w:ilvl="6" w:tplc="300A000F" w:tentative="1">
      <w:start w:val="1"/>
      <w:numFmt w:val="decimal"/>
      <w:lvlText w:val="%7."/>
      <w:lvlJc w:val="left"/>
      <w:pPr>
        <w:ind w:left="5388" w:hanging="360"/>
      </w:pPr>
    </w:lvl>
    <w:lvl w:ilvl="7" w:tplc="300A0019" w:tentative="1">
      <w:start w:val="1"/>
      <w:numFmt w:val="lowerLetter"/>
      <w:lvlText w:val="%8."/>
      <w:lvlJc w:val="left"/>
      <w:pPr>
        <w:ind w:left="6108" w:hanging="360"/>
      </w:pPr>
    </w:lvl>
    <w:lvl w:ilvl="8" w:tplc="300A001B" w:tentative="1">
      <w:start w:val="1"/>
      <w:numFmt w:val="lowerRoman"/>
      <w:lvlText w:val="%9."/>
      <w:lvlJc w:val="right"/>
      <w:pPr>
        <w:ind w:left="6828" w:hanging="180"/>
      </w:pPr>
    </w:lvl>
  </w:abstractNum>
  <w:abstractNum w:abstractNumId="3">
    <w:nsid w:val="10B80A65"/>
    <w:multiLevelType w:val="hybridMultilevel"/>
    <w:tmpl w:val="7174061E"/>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4">
    <w:nsid w:val="161A1955"/>
    <w:multiLevelType w:val="hybridMultilevel"/>
    <w:tmpl w:val="D2662886"/>
    <w:lvl w:ilvl="0" w:tplc="300A000F">
      <w:start w:val="1"/>
      <w:numFmt w:val="decimal"/>
      <w:lvlText w:val="%1."/>
      <w:lvlJc w:val="left"/>
      <w:pPr>
        <w:ind w:left="644"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5">
    <w:nsid w:val="173030B0"/>
    <w:multiLevelType w:val="hybridMultilevel"/>
    <w:tmpl w:val="1CCC280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19895E60"/>
    <w:multiLevelType w:val="hybridMultilevel"/>
    <w:tmpl w:val="CBFC1410"/>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7">
    <w:nsid w:val="1D7E2657"/>
    <w:multiLevelType w:val="hybridMultilevel"/>
    <w:tmpl w:val="F1CA888C"/>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8">
    <w:nsid w:val="232B576B"/>
    <w:multiLevelType w:val="hybridMultilevel"/>
    <w:tmpl w:val="E9922EE4"/>
    <w:lvl w:ilvl="0" w:tplc="300A0017">
      <w:start w:val="1"/>
      <w:numFmt w:val="lowerLetter"/>
      <w:lvlText w:val="%1)"/>
      <w:lvlJc w:val="lef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9">
    <w:nsid w:val="303E05A8"/>
    <w:multiLevelType w:val="hybridMultilevel"/>
    <w:tmpl w:val="464899F2"/>
    <w:lvl w:ilvl="0" w:tplc="5ABC5AD6">
      <w:start w:val="18"/>
      <w:numFmt w:val="bullet"/>
      <w:lvlText w:val="-"/>
      <w:lvlJc w:val="left"/>
      <w:pPr>
        <w:ind w:left="720" w:hanging="360"/>
      </w:pPr>
      <w:rPr>
        <w:rFonts w:ascii="Arial" w:eastAsia="Times New Roman"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0">
    <w:nsid w:val="304052FE"/>
    <w:multiLevelType w:val="hybridMultilevel"/>
    <w:tmpl w:val="3980313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30ED37B2"/>
    <w:multiLevelType w:val="hybridMultilevel"/>
    <w:tmpl w:val="C0E83C4C"/>
    <w:lvl w:ilvl="0" w:tplc="E050DA46">
      <w:start w:val="2"/>
      <w:numFmt w:val="lowerLetter"/>
      <w:lvlText w:val="%1)"/>
      <w:lvlJc w:val="left"/>
      <w:pPr>
        <w:ind w:left="144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2">
    <w:nsid w:val="32965621"/>
    <w:multiLevelType w:val="hybridMultilevel"/>
    <w:tmpl w:val="D2662886"/>
    <w:lvl w:ilvl="0" w:tplc="300A000F">
      <w:start w:val="1"/>
      <w:numFmt w:val="decimal"/>
      <w:lvlText w:val="%1."/>
      <w:lvlJc w:val="left"/>
      <w:pPr>
        <w:ind w:left="644"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3">
    <w:nsid w:val="3A4D6672"/>
    <w:multiLevelType w:val="hybridMultilevel"/>
    <w:tmpl w:val="7B583D14"/>
    <w:lvl w:ilvl="0" w:tplc="300A000F">
      <w:start w:val="1"/>
      <w:numFmt w:val="decimal"/>
      <w:lvlText w:val="%1."/>
      <w:lvlJc w:val="left"/>
      <w:pPr>
        <w:ind w:left="720" w:hanging="360"/>
      </w:pPr>
      <w:rPr>
        <w:rFonts w:hint="default"/>
        <w:color w:val="auto"/>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4">
    <w:nsid w:val="3A6D35C2"/>
    <w:multiLevelType w:val="hybridMultilevel"/>
    <w:tmpl w:val="02D26F56"/>
    <w:lvl w:ilvl="0" w:tplc="300A000F">
      <w:start w:val="1"/>
      <w:numFmt w:val="decimal"/>
      <w:lvlText w:val="%1."/>
      <w:lvlJc w:val="left"/>
      <w:pPr>
        <w:ind w:left="783" w:hanging="360"/>
      </w:pPr>
    </w:lvl>
    <w:lvl w:ilvl="1" w:tplc="300A0019" w:tentative="1">
      <w:start w:val="1"/>
      <w:numFmt w:val="lowerLetter"/>
      <w:lvlText w:val="%2."/>
      <w:lvlJc w:val="left"/>
      <w:pPr>
        <w:ind w:left="1503" w:hanging="360"/>
      </w:pPr>
    </w:lvl>
    <w:lvl w:ilvl="2" w:tplc="300A001B" w:tentative="1">
      <w:start w:val="1"/>
      <w:numFmt w:val="lowerRoman"/>
      <w:lvlText w:val="%3."/>
      <w:lvlJc w:val="right"/>
      <w:pPr>
        <w:ind w:left="2223" w:hanging="180"/>
      </w:pPr>
    </w:lvl>
    <w:lvl w:ilvl="3" w:tplc="300A000F" w:tentative="1">
      <w:start w:val="1"/>
      <w:numFmt w:val="decimal"/>
      <w:lvlText w:val="%4."/>
      <w:lvlJc w:val="left"/>
      <w:pPr>
        <w:ind w:left="2943" w:hanging="360"/>
      </w:pPr>
    </w:lvl>
    <w:lvl w:ilvl="4" w:tplc="300A0019" w:tentative="1">
      <w:start w:val="1"/>
      <w:numFmt w:val="lowerLetter"/>
      <w:lvlText w:val="%5."/>
      <w:lvlJc w:val="left"/>
      <w:pPr>
        <w:ind w:left="3663" w:hanging="360"/>
      </w:pPr>
    </w:lvl>
    <w:lvl w:ilvl="5" w:tplc="300A001B" w:tentative="1">
      <w:start w:val="1"/>
      <w:numFmt w:val="lowerRoman"/>
      <w:lvlText w:val="%6."/>
      <w:lvlJc w:val="right"/>
      <w:pPr>
        <w:ind w:left="4383" w:hanging="180"/>
      </w:pPr>
    </w:lvl>
    <w:lvl w:ilvl="6" w:tplc="300A000F" w:tentative="1">
      <w:start w:val="1"/>
      <w:numFmt w:val="decimal"/>
      <w:lvlText w:val="%7."/>
      <w:lvlJc w:val="left"/>
      <w:pPr>
        <w:ind w:left="5103" w:hanging="360"/>
      </w:pPr>
    </w:lvl>
    <w:lvl w:ilvl="7" w:tplc="300A0019" w:tentative="1">
      <w:start w:val="1"/>
      <w:numFmt w:val="lowerLetter"/>
      <w:lvlText w:val="%8."/>
      <w:lvlJc w:val="left"/>
      <w:pPr>
        <w:ind w:left="5823" w:hanging="360"/>
      </w:pPr>
    </w:lvl>
    <w:lvl w:ilvl="8" w:tplc="300A001B" w:tentative="1">
      <w:start w:val="1"/>
      <w:numFmt w:val="lowerRoman"/>
      <w:lvlText w:val="%9."/>
      <w:lvlJc w:val="right"/>
      <w:pPr>
        <w:ind w:left="6543" w:hanging="180"/>
      </w:pPr>
    </w:lvl>
  </w:abstractNum>
  <w:abstractNum w:abstractNumId="15">
    <w:nsid w:val="41D82C41"/>
    <w:multiLevelType w:val="hybridMultilevel"/>
    <w:tmpl w:val="DE9EEC3C"/>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6">
    <w:nsid w:val="5481292C"/>
    <w:multiLevelType w:val="hybridMultilevel"/>
    <w:tmpl w:val="6D745882"/>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7">
    <w:nsid w:val="5F934D49"/>
    <w:multiLevelType w:val="hybridMultilevel"/>
    <w:tmpl w:val="F1CA888C"/>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8">
    <w:nsid w:val="5FED4714"/>
    <w:multiLevelType w:val="hybridMultilevel"/>
    <w:tmpl w:val="B8E4B5D4"/>
    <w:lvl w:ilvl="0" w:tplc="300A0017">
      <w:start w:val="1"/>
      <w:numFmt w:val="lowerLetter"/>
      <w:lvlText w:val="%1)"/>
      <w:lvlJc w:val="lef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19">
    <w:nsid w:val="643047BB"/>
    <w:multiLevelType w:val="hybridMultilevel"/>
    <w:tmpl w:val="3508E4DA"/>
    <w:lvl w:ilvl="0" w:tplc="AD26283C">
      <w:start w:val="1"/>
      <w:numFmt w:val="lowerLetter"/>
      <w:lvlText w:val="%1)"/>
      <w:lvlJc w:val="left"/>
      <w:pPr>
        <w:ind w:left="1080" w:hanging="360"/>
      </w:pPr>
      <w:rPr>
        <w:b/>
        <w:color w:val="1F497D"/>
      </w:rPr>
    </w:lvl>
    <w:lvl w:ilvl="1" w:tplc="300A0013">
      <w:start w:val="1"/>
      <w:numFmt w:val="upperRoman"/>
      <w:lvlText w:val="%2."/>
      <w:lvlJc w:val="right"/>
      <w:pPr>
        <w:ind w:left="1800" w:hanging="360"/>
      </w:pPr>
    </w:lvl>
    <w:lvl w:ilvl="2" w:tplc="0C0A0019">
      <w:start w:val="1"/>
      <w:numFmt w:val="lowerLetter"/>
      <w:lvlText w:val="%3."/>
      <w:lvlJc w:val="lef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0">
    <w:nsid w:val="656E77C2"/>
    <w:multiLevelType w:val="hybridMultilevel"/>
    <w:tmpl w:val="3CBEC5E2"/>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1">
    <w:nsid w:val="659A0C2A"/>
    <w:multiLevelType w:val="hybridMultilevel"/>
    <w:tmpl w:val="7174061E"/>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2">
    <w:nsid w:val="669F2497"/>
    <w:multiLevelType w:val="hybridMultilevel"/>
    <w:tmpl w:val="94E6C3BE"/>
    <w:lvl w:ilvl="0" w:tplc="96F260F2">
      <w:start w:val="2"/>
      <w:numFmt w:val="bullet"/>
      <w:lvlText w:val=""/>
      <w:lvlJc w:val="left"/>
      <w:pPr>
        <w:ind w:left="360" w:hanging="360"/>
      </w:pPr>
      <w:rPr>
        <w:rFonts w:ascii="Symbol" w:eastAsia="Calibri" w:hAnsi="Symbol" w:cs="Aria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3">
    <w:nsid w:val="67364BD2"/>
    <w:multiLevelType w:val="hybridMultilevel"/>
    <w:tmpl w:val="ED267B7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4">
    <w:nsid w:val="680A140A"/>
    <w:multiLevelType w:val="hybridMultilevel"/>
    <w:tmpl w:val="DB38A18A"/>
    <w:lvl w:ilvl="0" w:tplc="300A0019">
      <w:start w:val="1"/>
      <w:numFmt w:val="low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5">
    <w:nsid w:val="6AC260AB"/>
    <w:multiLevelType w:val="hybridMultilevel"/>
    <w:tmpl w:val="7174061E"/>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6">
    <w:nsid w:val="6DE074A8"/>
    <w:multiLevelType w:val="hybridMultilevel"/>
    <w:tmpl w:val="9EA467BE"/>
    <w:lvl w:ilvl="0" w:tplc="B6A21D90">
      <w:start w:val="18"/>
      <w:numFmt w:val="bullet"/>
      <w:lvlText w:val="-"/>
      <w:lvlJc w:val="left"/>
      <w:pPr>
        <w:ind w:left="720" w:hanging="360"/>
      </w:pPr>
      <w:rPr>
        <w:rFonts w:ascii="Arial" w:eastAsia="Times New Roman"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7">
    <w:nsid w:val="6EB31B44"/>
    <w:multiLevelType w:val="hybridMultilevel"/>
    <w:tmpl w:val="396EA51A"/>
    <w:lvl w:ilvl="0" w:tplc="11AC4194">
      <w:start w:val="1"/>
      <w:numFmt w:val="lowerLetter"/>
      <w:lvlText w:val="%1)"/>
      <w:lvlJc w:val="lef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28">
    <w:nsid w:val="70454A30"/>
    <w:multiLevelType w:val="hybridMultilevel"/>
    <w:tmpl w:val="B706104C"/>
    <w:lvl w:ilvl="0" w:tplc="300A0017">
      <w:start w:val="1"/>
      <w:numFmt w:val="lowerLetter"/>
      <w:lvlText w:val="%1)"/>
      <w:lvlJc w:val="lef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29">
    <w:nsid w:val="784822CC"/>
    <w:multiLevelType w:val="hybridMultilevel"/>
    <w:tmpl w:val="396EA51A"/>
    <w:lvl w:ilvl="0" w:tplc="11AC4194">
      <w:start w:val="1"/>
      <w:numFmt w:val="lowerLetter"/>
      <w:lvlText w:val="%1)"/>
      <w:lvlJc w:val="lef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30">
    <w:nsid w:val="7A3F1A6E"/>
    <w:multiLevelType w:val="hybridMultilevel"/>
    <w:tmpl w:val="B6905F14"/>
    <w:lvl w:ilvl="0" w:tplc="1AC45484">
      <w:start w:val="1"/>
      <w:numFmt w:val="decimal"/>
      <w:lvlText w:val="%1."/>
      <w:lvlJc w:val="left"/>
      <w:pPr>
        <w:ind w:left="360" w:hanging="360"/>
      </w:p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abstractNumId w:val="30"/>
  </w:num>
  <w:num w:numId="2">
    <w:abstractNumId w:val="19"/>
  </w:num>
  <w:num w:numId="3">
    <w:abstractNumId w:val="30"/>
  </w:num>
  <w:num w:numId="4">
    <w:abstractNumId w:val="19"/>
  </w:num>
  <w:num w:numId="5">
    <w:abstractNumId w:val="20"/>
  </w:num>
  <w:num w:numId="6">
    <w:abstractNumId w:val="26"/>
  </w:num>
  <w:num w:numId="7">
    <w:abstractNumId w:val="9"/>
  </w:num>
  <w:num w:numId="8">
    <w:abstractNumId w:val="10"/>
  </w:num>
  <w:num w:numId="9">
    <w:abstractNumId w:val="14"/>
  </w:num>
  <w:num w:numId="10">
    <w:abstractNumId w:val="0"/>
  </w:num>
  <w:num w:numId="11">
    <w:abstractNumId w:val="23"/>
  </w:num>
  <w:num w:numId="12">
    <w:abstractNumId w:val="6"/>
  </w:num>
  <w:num w:numId="13">
    <w:abstractNumId w:val="2"/>
  </w:num>
  <w:num w:numId="14">
    <w:abstractNumId w:val="16"/>
  </w:num>
  <w:num w:numId="15">
    <w:abstractNumId w:val="24"/>
  </w:num>
  <w:num w:numId="16">
    <w:abstractNumId w:val="25"/>
  </w:num>
  <w:num w:numId="17">
    <w:abstractNumId w:val="15"/>
  </w:num>
  <w:num w:numId="18">
    <w:abstractNumId w:val="8"/>
  </w:num>
  <w:num w:numId="19">
    <w:abstractNumId w:val="12"/>
  </w:num>
  <w:num w:numId="20">
    <w:abstractNumId w:val="29"/>
  </w:num>
  <w:num w:numId="21">
    <w:abstractNumId w:val="3"/>
  </w:num>
  <w:num w:numId="22">
    <w:abstractNumId w:val="4"/>
  </w:num>
  <w:num w:numId="23">
    <w:abstractNumId w:val="17"/>
  </w:num>
  <w:num w:numId="24">
    <w:abstractNumId w:val="18"/>
  </w:num>
  <w:num w:numId="25">
    <w:abstractNumId w:val="28"/>
  </w:num>
  <w:num w:numId="26">
    <w:abstractNumId w:val="27"/>
  </w:num>
  <w:num w:numId="27">
    <w:abstractNumId w:val="11"/>
  </w:num>
  <w:num w:numId="28">
    <w:abstractNumId w:val="1"/>
  </w:num>
  <w:num w:numId="29">
    <w:abstractNumId w:val="21"/>
  </w:num>
  <w:num w:numId="30">
    <w:abstractNumId w:val="7"/>
  </w:num>
  <w:num w:numId="31">
    <w:abstractNumId w:val="13"/>
  </w:num>
  <w:num w:numId="32">
    <w:abstractNumId w:val="22"/>
  </w:num>
  <w:num w:numId="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974"/>
    <w:rsid w:val="00004233"/>
    <w:rsid w:val="000042E6"/>
    <w:rsid w:val="0000451E"/>
    <w:rsid w:val="00025A34"/>
    <w:rsid w:val="000266D8"/>
    <w:rsid w:val="00026754"/>
    <w:rsid w:val="00026758"/>
    <w:rsid w:val="00030D84"/>
    <w:rsid w:val="000320E4"/>
    <w:rsid w:val="00041571"/>
    <w:rsid w:val="00041924"/>
    <w:rsid w:val="00046841"/>
    <w:rsid w:val="000469FE"/>
    <w:rsid w:val="0005214C"/>
    <w:rsid w:val="00060634"/>
    <w:rsid w:val="000752AE"/>
    <w:rsid w:val="00083763"/>
    <w:rsid w:val="0008444D"/>
    <w:rsid w:val="00087B2C"/>
    <w:rsid w:val="00090B56"/>
    <w:rsid w:val="00091854"/>
    <w:rsid w:val="00093CF7"/>
    <w:rsid w:val="000A093D"/>
    <w:rsid w:val="000A78F9"/>
    <w:rsid w:val="000B3A38"/>
    <w:rsid w:val="000F61BE"/>
    <w:rsid w:val="00110501"/>
    <w:rsid w:val="0011224F"/>
    <w:rsid w:val="001122E5"/>
    <w:rsid w:val="001128DB"/>
    <w:rsid w:val="00116777"/>
    <w:rsid w:val="00121512"/>
    <w:rsid w:val="00122018"/>
    <w:rsid w:val="00125ACA"/>
    <w:rsid w:val="00127CF4"/>
    <w:rsid w:val="00160FC7"/>
    <w:rsid w:val="0016157E"/>
    <w:rsid w:val="001A2F76"/>
    <w:rsid w:val="001A38FB"/>
    <w:rsid w:val="001B53D0"/>
    <w:rsid w:val="001C02DB"/>
    <w:rsid w:val="001C3F1C"/>
    <w:rsid w:val="001F3F7A"/>
    <w:rsid w:val="00203D55"/>
    <w:rsid w:val="00224EC3"/>
    <w:rsid w:val="002327B9"/>
    <w:rsid w:val="002353A9"/>
    <w:rsid w:val="00245AC4"/>
    <w:rsid w:val="0025044C"/>
    <w:rsid w:val="00250DCD"/>
    <w:rsid w:val="00254D02"/>
    <w:rsid w:val="0026798D"/>
    <w:rsid w:val="002731DC"/>
    <w:rsid w:val="0027352B"/>
    <w:rsid w:val="00276296"/>
    <w:rsid w:val="0028114C"/>
    <w:rsid w:val="00284EE6"/>
    <w:rsid w:val="002915D4"/>
    <w:rsid w:val="0029263E"/>
    <w:rsid w:val="00295EB0"/>
    <w:rsid w:val="002A22DC"/>
    <w:rsid w:val="002A3FDB"/>
    <w:rsid w:val="002A4C34"/>
    <w:rsid w:val="002A7799"/>
    <w:rsid w:val="002C09BB"/>
    <w:rsid w:val="002C6570"/>
    <w:rsid w:val="002D24B0"/>
    <w:rsid w:val="002D30BE"/>
    <w:rsid w:val="002D48C0"/>
    <w:rsid w:val="002E2191"/>
    <w:rsid w:val="002E61D6"/>
    <w:rsid w:val="002F1468"/>
    <w:rsid w:val="002F551C"/>
    <w:rsid w:val="00304F9F"/>
    <w:rsid w:val="003051B7"/>
    <w:rsid w:val="003152F2"/>
    <w:rsid w:val="00324F83"/>
    <w:rsid w:val="00333459"/>
    <w:rsid w:val="00344509"/>
    <w:rsid w:val="003527C4"/>
    <w:rsid w:val="0037256F"/>
    <w:rsid w:val="00382368"/>
    <w:rsid w:val="0038632D"/>
    <w:rsid w:val="003A12C8"/>
    <w:rsid w:val="003A2829"/>
    <w:rsid w:val="003A2923"/>
    <w:rsid w:val="003A4EAB"/>
    <w:rsid w:val="003B4799"/>
    <w:rsid w:val="003D1974"/>
    <w:rsid w:val="003D3571"/>
    <w:rsid w:val="003F1D46"/>
    <w:rsid w:val="003F274D"/>
    <w:rsid w:val="00405B6F"/>
    <w:rsid w:val="00433F29"/>
    <w:rsid w:val="00455EF4"/>
    <w:rsid w:val="004561E1"/>
    <w:rsid w:val="004933D5"/>
    <w:rsid w:val="004A0BBF"/>
    <w:rsid w:val="004A0DC0"/>
    <w:rsid w:val="004A6C98"/>
    <w:rsid w:val="004B398D"/>
    <w:rsid w:val="004C1080"/>
    <w:rsid w:val="004E0B76"/>
    <w:rsid w:val="004E4B6E"/>
    <w:rsid w:val="004E7BA5"/>
    <w:rsid w:val="004F3C0A"/>
    <w:rsid w:val="004F6DFF"/>
    <w:rsid w:val="005017DB"/>
    <w:rsid w:val="00505C67"/>
    <w:rsid w:val="00505D77"/>
    <w:rsid w:val="00515CFF"/>
    <w:rsid w:val="00516DCF"/>
    <w:rsid w:val="00517AA7"/>
    <w:rsid w:val="00523E51"/>
    <w:rsid w:val="00537F96"/>
    <w:rsid w:val="005463EE"/>
    <w:rsid w:val="005470EF"/>
    <w:rsid w:val="00550617"/>
    <w:rsid w:val="00552849"/>
    <w:rsid w:val="005567C0"/>
    <w:rsid w:val="00560057"/>
    <w:rsid w:val="005653D1"/>
    <w:rsid w:val="005717FA"/>
    <w:rsid w:val="00582A5A"/>
    <w:rsid w:val="00590CFE"/>
    <w:rsid w:val="00592B2D"/>
    <w:rsid w:val="0059347C"/>
    <w:rsid w:val="0059618A"/>
    <w:rsid w:val="00597C46"/>
    <w:rsid w:val="005A0B89"/>
    <w:rsid w:val="005A5951"/>
    <w:rsid w:val="005B1574"/>
    <w:rsid w:val="005B2D89"/>
    <w:rsid w:val="005B786D"/>
    <w:rsid w:val="005C0B75"/>
    <w:rsid w:val="005D166F"/>
    <w:rsid w:val="005D2AC5"/>
    <w:rsid w:val="005D58F5"/>
    <w:rsid w:val="005E2DED"/>
    <w:rsid w:val="005F2704"/>
    <w:rsid w:val="005F7408"/>
    <w:rsid w:val="005F7A99"/>
    <w:rsid w:val="0060511C"/>
    <w:rsid w:val="00607CFD"/>
    <w:rsid w:val="00624E21"/>
    <w:rsid w:val="006271DD"/>
    <w:rsid w:val="006320B4"/>
    <w:rsid w:val="00634E1D"/>
    <w:rsid w:val="00644531"/>
    <w:rsid w:val="00646EF7"/>
    <w:rsid w:val="00656379"/>
    <w:rsid w:val="006673DD"/>
    <w:rsid w:val="0067205B"/>
    <w:rsid w:val="006729CA"/>
    <w:rsid w:val="00686F1A"/>
    <w:rsid w:val="006A12A8"/>
    <w:rsid w:val="006A6ECC"/>
    <w:rsid w:val="006B0B4B"/>
    <w:rsid w:val="006B211F"/>
    <w:rsid w:val="006B5474"/>
    <w:rsid w:val="006B6641"/>
    <w:rsid w:val="006B6763"/>
    <w:rsid w:val="006D5AA0"/>
    <w:rsid w:val="006D6C65"/>
    <w:rsid w:val="006E0FDE"/>
    <w:rsid w:val="006E1BD0"/>
    <w:rsid w:val="006E5ADF"/>
    <w:rsid w:val="006E7E1C"/>
    <w:rsid w:val="006F7FE0"/>
    <w:rsid w:val="00714475"/>
    <w:rsid w:val="0071625D"/>
    <w:rsid w:val="007235A9"/>
    <w:rsid w:val="0073410E"/>
    <w:rsid w:val="00746EBD"/>
    <w:rsid w:val="00750691"/>
    <w:rsid w:val="00751922"/>
    <w:rsid w:val="00752347"/>
    <w:rsid w:val="00762F37"/>
    <w:rsid w:val="007631C0"/>
    <w:rsid w:val="0077080C"/>
    <w:rsid w:val="007743EB"/>
    <w:rsid w:val="00780EC7"/>
    <w:rsid w:val="0078116A"/>
    <w:rsid w:val="00781308"/>
    <w:rsid w:val="00781F6E"/>
    <w:rsid w:val="00791433"/>
    <w:rsid w:val="007A5D2F"/>
    <w:rsid w:val="007A724B"/>
    <w:rsid w:val="007A7855"/>
    <w:rsid w:val="007A78E9"/>
    <w:rsid w:val="007B24C0"/>
    <w:rsid w:val="007B51E8"/>
    <w:rsid w:val="007C04C5"/>
    <w:rsid w:val="007C5558"/>
    <w:rsid w:val="007C7210"/>
    <w:rsid w:val="007D38F8"/>
    <w:rsid w:val="007D4BA7"/>
    <w:rsid w:val="007E21D1"/>
    <w:rsid w:val="007E7989"/>
    <w:rsid w:val="007F2957"/>
    <w:rsid w:val="0080012F"/>
    <w:rsid w:val="00813B15"/>
    <w:rsid w:val="00817D42"/>
    <w:rsid w:val="00822125"/>
    <w:rsid w:val="008238FF"/>
    <w:rsid w:val="00826954"/>
    <w:rsid w:val="00832D45"/>
    <w:rsid w:val="008458EB"/>
    <w:rsid w:val="00846EC4"/>
    <w:rsid w:val="00850AA6"/>
    <w:rsid w:val="008557E3"/>
    <w:rsid w:val="00856038"/>
    <w:rsid w:val="00856888"/>
    <w:rsid w:val="00862497"/>
    <w:rsid w:val="00862E77"/>
    <w:rsid w:val="00870E99"/>
    <w:rsid w:val="008765E5"/>
    <w:rsid w:val="008824CA"/>
    <w:rsid w:val="008869E4"/>
    <w:rsid w:val="00892B95"/>
    <w:rsid w:val="008A0722"/>
    <w:rsid w:val="008A75F3"/>
    <w:rsid w:val="008C16BB"/>
    <w:rsid w:val="008C59EF"/>
    <w:rsid w:val="008D1A0B"/>
    <w:rsid w:val="008F530F"/>
    <w:rsid w:val="008F5C76"/>
    <w:rsid w:val="008F7668"/>
    <w:rsid w:val="00901344"/>
    <w:rsid w:val="00925908"/>
    <w:rsid w:val="0092764D"/>
    <w:rsid w:val="00932F62"/>
    <w:rsid w:val="00934605"/>
    <w:rsid w:val="009365AA"/>
    <w:rsid w:val="009569B6"/>
    <w:rsid w:val="00957D5E"/>
    <w:rsid w:val="00961A34"/>
    <w:rsid w:val="00965CB8"/>
    <w:rsid w:val="00967A9A"/>
    <w:rsid w:val="00983A19"/>
    <w:rsid w:val="00987563"/>
    <w:rsid w:val="009A0814"/>
    <w:rsid w:val="009A39CE"/>
    <w:rsid w:val="009B1DB6"/>
    <w:rsid w:val="009C1C74"/>
    <w:rsid w:val="009E1AFD"/>
    <w:rsid w:val="009E4EB9"/>
    <w:rsid w:val="009F6C8B"/>
    <w:rsid w:val="00A12C20"/>
    <w:rsid w:val="00A1663D"/>
    <w:rsid w:val="00A24CDC"/>
    <w:rsid w:val="00A50C6A"/>
    <w:rsid w:val="00A5438F"/>
    <w:rsid w:val="00A54931"/>
    <w:rsid w:val="00A56008"/>
    <w:rsid w:val="00A56648"/>
    <w:rsid w:val="00A61187"/>
    <w:rsid w:val="00A61982"/>
    <w:rsid w:val="00A62566"/>
    <w:rsid w:val="00A64F29"/>
    <w:rsid w:val="00A65D23"/>
    <w:rsid w:val="00A716E4"/>
    <w:rsid w:val="00A81E5D"/>
    <w:rsid w:val="00A862FC"/>
    <w:rsid w:val="00A91115"/>
    <w:rsid w:val="00A9227C"/>
    <w:rsid w:val="00AA34B2"/>
    <w:rsid w:val="00AA6532"/>
    <w:rsid w:val="00AB6BE5"/>
    <w:rsid w:val="00AC0087"/>
    <w:rsid w:val="00AD5934"/>
    <w:rsid w:val="00AD6399"/>
    <w:rsid w:val="00AF0A6D"/>
    <w:rsid w:val="00AF2A08"/>
    <w:rsid w:val="00AF5FCB"/>
    <w:rsid w:val="00B01729"/>
    <w:rsid w:val="00B0221D"/>
    <w:rsid w:val="00B10AFD"/>
    <w:rsid w:val="00B14B90"/>
    <w:rsid w:val="00B174D2"/>
    <w:rsid w:val="00B20D94"/>
    <w:rsid w:val="00B273FC"/>
    <w:rsid w:val="00B3041F"/>
    <w:rsid w:val="00B306E9"/>
    <w:rsid w:val="00B3511E"/>
    <w:rsid w:val="00B40FF9"/>
    <w:rsid w:val="00B41863"/>
    <w:rsid w:val="00B46A9F"/>
    <w:rsid w:val="00B477DA"/>
    <w:rsid w:val="00B54662"/>
    <w:rsid w:val="00B608DE"/>
    <w:rsid w:val="00B7047F"/>
    <w:rsid w:val="00B71724"/>
    <w:rsid w:val="00B726A4"/>
    <w:rsid w:val="00B7375E"/>
    <w:rsid w:val="00B77C8F"/>
    <w:rsid w:val="00BA0AD0"/>
    <w:rsid w:val="00BA301E"/>
    <w:rsid w:val="00BA47D6"/>
    <w:rsid w:val="00BA6FAD"/>
    <w:rsid w:val="00BA7ED7"/>
    <w:rsid w:val="00BB3B14"/>
    <w:rsid w:val="00BB5CFE"/>
    <w:rsid w:val="00BD546A"/>
    <w:rsid w:val="00BD5B98"/>
    <w:rsid w:val="00BD651A"/>
    <w:rsid w:val="00BE3CBA"/>
    <w:rsid w:val="00BE711E"/>
    <w:rsid w:val="00BF276D"/>
    <w:rsid w:val="00BF3A3A"/>
    <w:rsid w:val="00BF6BB6"/>
    <w:rsid w:val="00C020D0"/>
    <w:rsid w:val="00C022E1"/>
    <w:rsid w:val="00C02BA7"/>
    <w:rsid w:val="00C10246"/>
    <w:rsid w:val="00C1359A"/>
    <w:rsid w:val="00C1411A"/>
    <w:rsid w:val="00C16F8F"/>
    <w:rsid w:val="00C22AF9"/>
    <w:rsid w:val="00C26D32"/>
    <w:rsid w:val="00C4141E"/>
    <w:rsid w:val="00C50F24"/>
    <w:rsid w:val="00C515A6"/>
    <w:rsid w:val="00C561FE"/>
    <w:rsid w:val="00C616E7"/>
    <w:rsid w:val="00C6349C"/>
    <w:rsid w:val="00C72148"/>
    <w:rsid w:val="00C761BA"/>
    <w:rsid w:val="00C82F32"/>
    <w:rsid w:val="00C8339B"/>
    <w:rsid w:val="00C8455D"/>
    <w:rsid w:val="00C84C3C"/>
    <w:rsid w:val="00C91441"/>
    <w:rsid w:val="00C92FB7"/>
    <w:rsid w:val="00C933C6"/>
    <w:rsid w:val="00C952A4"/>
    <w:rsid w:val="00C97695"/>
    <w:rsid w:val="00CA7074"/>
    <w:rsid w:val="00CB23C2"/>
    <w:rsid w:val="00CB28F7"/>
    <w:rsid w:val="00CD3B2E"/>
    <w:rsid w:val="00CD6ED1"/>
    <w:rsid w:val="00CE138F"/>
    <w:rsid w:val="00CE1CF1"/>
    <w:rsid w:val="00CF16E0"/>
    <w:rsid w:val="00CF1B6F"/>
    <w:rsid w:val="00D03A69"/>
    <w:rsid w:val="00D055E1"/>
    <w:rsid w:val="00D1104E"/>
    <w:rsid w:val="00D13BC6"/>
    <w:rsid w:val="00D20615"/>
    <w:rsid w:val="00D212F2"/>
    <w:rsid w:val="00D26122"/>
    <w:rsid w:val="00D26863"/>
    <w:rsid w:val="00D352FC"/>
    <w:rsid w:val="00D37488"/>
    <w:rsid w:val="00D4150C"/>
    <w:rsid w:val="00D42832"/>
    <w:rsid w:val="00D42AC8"/>
    <w:rsid w:val="00D533E6"/>
    <w:rsid w:val="00D60645"/>
    <w:rsid w:val="00D607ED"/>
    <w:rsid w:val="00D732F6"/>
    <w:rsid w:val="00D771F3"/>
    <w:rsid w:val="00D8720F"/>
    <w:rsid w:val="00D93674"/>
    <w:rsid w:val="00D968AD"/>
    <w:rsid w:val="00D968BE"/>
    <w:rsid w:val="00DB0D46"/>
    <w:rsid w:val="00DB7DC1"/>
    <w:rsid w:val="00DE2AFA"/>
    <w:rsid w:val="00DE4F95"/>
    <w:rsid w:val="00E00319"/>
    <w:rsid w:val="00E0312C"/>
    <w:rsid w:val="00E07C03"/>
    <w:rsid w:val="00E306CA"/>
    <w:rsid w:val="00E43E02"/>
    <w:rsid w:val="00E57B12"/>
    <w:rsid w:val="00E600FE"/>
    <w:rsid w:val="00E61D26"/>
    <w:rsid w:val="00E63A8C"/>
    <w:rsid w:val="00E71017"/>
    <w:rsid w:val="00E747D0"/>
    <w:rsid w:val="00E7578D"/>
    <w:rsid w:val="00E85E64"/>
    <w:rsid w:val="00E93E59"/>
    <w:rsid w:val="00EB306C"/>
    <w:rsid w:val="00EB6C06"/>
    <w:rsid w:val="00EF1BD0"/>
    <w:rsid w:val="00EF3F20"/>
    <w:rsid w:val="00EF4198"/>
    <w:rsid w:val="00F07F77"/>
    <w:rsid w:val="00F1530A"/>
    <w:rsid w:val="00F16BE0"/>
    <w:rsid w:val="00F225D2"/>
    <w:rsid w:val="00F22CF3"/>
    <w:rsid w:val="00F23AF0"/>
    <w:rsid w:val="00F24CA7"/>
    <w:rsid w:val="00F30EE6"/>
    <w:rsid w:val="00F35C67"/>
    <w:rsid w:val="00F40CB5"/>
    <w:rsid w:val="00F44A9A"/>
    <w:rsid w:val="00F4662C"/>
    <w:rsid w:val="00F54021"/>
    <w:rsid w:val="00F55FD0"/>
    <w:rsid w:val="00F60D80"/>
    <w:rsid w:val="00F71E24"/>
    <w:rsid w:val="00F74C87"/>
    <w:rsid w:val="00F95298"/>
    <w:rsid w:val="00FA4389"/>
    <w:rsid w:val="00FA6FD4"/>
    <w:rsid w:val="00FB3C61"/>
    <w:rsid w:val="00FC0550"/>
    <w:rsid w:val="00FC38C6"/>
    <w:rsid w:val="00FD5B09"/>
    <w:rsid w:val="00FE1326"/>
    <w:rsid w:val="00FE4E31"/>
    <w:rsid w:val="00FF208D"/>
    <w:rsid w:val="00FF37A5"/>
    <w:rsid w:val="00FF4862"/>
    <w:rsid w:val="00FF663C"/>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EC" w:eastAsia="es-EC"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Web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1AFD"/>
    <w:pPr>
      <w:spacing w:after="200" w:line="276" w:lineRule="auto"/>
    </w:pPr>
    <w:rPr>
      <w:sz w:val="22"/>
      <w:szCs w:val="22"/>
    </w:rPr>
  </w:style>
  <w:style w:type="paragraph" w:styleId="Ttulo1">
    <w:name w:val="heading 1"/>
    <w:aliases w:val="titulo 1"/>
    <w:basedOn w:val="Normal"/>
    <w:next w:val="Normal"/>
    <w:link w:val="Ttulo1Car"/>
    <w:autoRedefine/>
    <w:uiPriority w:val="9"/>
    <w:qFormat/>
    <w:rsid w:val="00CD3B2E"/>
    <w:pPr>
      <w:keepNext/>
      <w:keepLines/>
      <w:spacing w:before="480" w:after="0"/>
      <w:outlineLvl w:val="0"/>
    </w:pPr>
    <w:rPr>
      <w:rFonts w:eastAsia="Times New Roman" w:cs="Calibri"/>
      <w:b/>
      <w:bCs/>
      <w:color w:val="365F91"/>
    </w:rPr>
  </w:style>
  <w:style w:type="paragraph" w:styleId="Ttulo2">
    <w:name w:val="heading 2"/>
    <w:basedOn w:val="Normal"/>
    <w:next w:val="Normal"/>
    <w:link w:val="Ttulo2Car"/>
    <w:uiPriority w:val="9"/>
    <w:unhideWhenUsed/>
    <w:qFormat/>
    <w:rsid w:val="009E1AFD"/>
    <w:pPr>
      <w:keepNext/>
      <w:keepLines/>
      <w:spacing w:before="200" w:after="0"/>
      <w:outlineLvl w:val="1"/>
    </w:pPr>
    <w:rPr>
      <w:rFonts w:ascii="Cambria" w:eastAsia="Times New Roman" w:hAnsi="Cambria"/>
      <w:b/>
      <w:bCs/>
      <w:color w:val="4F81BD"/>
      <w:sz w:val="26"/>
      <w:szCs w:val="26"/>
    </w:rPr>
  </w:style>
  <w:style w:type="paragraph" w:styleId="Ttulo3">
    <w:name w:val="heading 3"/>
    <w:basedOn w:val="Normal"/>
    <w:next w:val="Normal"/>
    <w:link w:val="Ttulo3Car"/>
    <w:uiPriority w:val="9"/>
    <w:unhideWhenUsed/>
    <w:qFormat/>
    <w:rsid w:val="009E1AFD"/>
    <w:pPr>
      <w:keepNext/>
      <w:keepLines/>
      <w:spacing w:before="200" w:after="0"/>
      <w:outlineLvl w:val="2"/>
    </w:pPr>
    <w:rPr>
      <w:rFonts w:ascii="Cambria" w:eastAsia="Times New Roman" w:hAnsi="Cambria"/>
      <w:b/>
      <w:bCs/>
      <w:color w:val="4F81BD"/>
    </w:rPr>
  </w:style>
  <w:style w:type="paragraph" w:styleId="Ttulo4">
    <w:name w:val="heading 4"/>
    <w:basedOn w:val="Normal"/>
    <w:next w:val="Normal"/>
    <w:link w:val="Ttulo4Car"/>
    <w:uiPriority w:val="9"/>
    <w:unhideWhenUsed/>
    <w:qFormat/>
    <w:rsid w:val="009E1AFD"/>
    <w:pPr>
      <w:keepNext/>
      <w:keepLines/>
      <w:spacing w:before="200" w:after="0"/>
      <w:outlineLvl w:val="3"/>
    </w:pPr>
    <w:rPr>
      <w:rFonts w:ascii="Cambria" w:eastAsia="Times New Roman" w:hAnsi="Cambria"/>
      <w:b/>
      <w:bCs/>
      <w:i/>
      <w:iCs/>
      <w:color w:val="4F81BD"/>
    </w:rPr>
  </w:style>
  <w:style w:type="paragraph" w:styleId="Ttulo5">
    <w:name w:val="heading 5"/>
    <w:basedOn w:val="Normal"/>
    <w:next w:val="Normal"/>
    <w:link w:val="Ttulo5Car"/>
    <w:uiPriority w:val="9"/>
    <w:unhideWhenUsed/>
    <w:qFormat/>
    <w:rsid w:val="009E1AFD"/>
    <w:pPr>
      <w:keepNext/>
      <w:keepLines/>
      <w:spacing w:before="200" w:after="0"/>
      <w:outlineLvl w:val="4"/>
    </w:pPr>
    <w:rPr>
      <w:rFonts w:ascii="Cambria" w:eastAsia="Times New Roman" w:hAnsi="Cambria"/>
      <w:color w:val="243F6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titulo 1 Car"/>
    <w:link w:val="Ttulo1"/>
    <w:uiPriority w:val="9"/>
    <w:rsid w:val="00CD3B2E"/>
    <w:rPr>
      <w:rFonts w:eastAsia="Times New Roman" w:cs="Calibri"/>
      <w:b/>
      <w:bCs/>
      <w:color w:val="365F91"/>
      <w:lang w:eastAsia="es-EC"/>
    </w:rPr>
  </w:style>
  <w:style w:type="paragraph" w:customStyle="1" w:styleId="MickeyDazTtulo">
    <w:name w:val="Mickey Dïaz Título"/>
    <w:basedOn w:val="Prrafodelista"/>
    <w:link w:val="MickeyDazTtuloCar"/>
    <w:qFormat/>
    <w:rsid w:val="009E1AFD"/>
    <w:pPr>
      <w:spacing w:after="0" w:line="240" w:lineRule="auto"/>
      <w:ind w:left="360" w:hanging="360"/>
    </w:pPr>
    <w:rPr>
      <w:rFonts w:eastAsia="Times New Roman"/>
      <w:color w:val="1F497D"/>
      <w:sz w:val="24"/>
      <w:lang w:val="es-ES" w:eastAsia="es-ES"/>
    </w:rPr>
  </w:style>
  <w:style w:type="character" w:customStyle="1" w:styleId="MickeyDazTtuloCar">
    <w:name w:val="Mickey Dïaz Título Car"/>
    <w:link w:val="MickeyDazTtulo"/>
    <w:rsid w:val="009E1AFD"/>
    <w:rPr>
      <w:rFonts w:ascii="Calibri" w:eastAsia="Times New Roman" w:hAnsi="Calibri" w:cs="Times New Roman"/>
      <w:color w:val="1F497D"/>
      <w:sz w:val="24"/>
      <w:lang w:val="es-ES" w:eastAsia="es-ES"/>
    </w:rPr>
  </w:style>
  <w:style w:type="paragraph" w:styleId="Prrafodelista">
    <w:name w:val="List Paragraph"/>
    <w:basedOn w:val="Normal"/>
    <w:link w:val="PrrafodelistaCar"/>
    <w:uiPriority w:val="34"/>
    <w:qFormat/>
    <w:rsid w:val="009E1AFD"/>
    <w:pPr>
      <w:ind w:left="720"/>
      <w:contextualSpacing/>
    </w:pPr>
  </w:style>
  <w:style w:type="paragraph" w:customStyle="1" w:styleId="MickeyDaz-Subttulo">
    <w:name w:val="Mickey Díaz - Subtítulo"/>
    <w:basedOn w:val="Prrafodelista"/>
    <w:link w:val="MickeyDaz-SubttuloCar"/>
    <w:qFormat/>
    <w:rsid w:val="009E1AFD"/>
    <w:pPr>
      <w:spacing w:after="0" w:line="240" w:lineRule="auto"/>
      <w:ind w:left="1080" w:hanging="360"/>
      <w:jc w:val="both"/>
    </w:pPr>
    <w:rPr>
      <w:rFonts w:eastAsia="Times New Roman"/>
      <w:b/>
      <w:color w:val="1F497D"/>
      <w:lang w:val="es-ES" w:eastAsia="es-ES"/>
    </w:rPr>
  </w:style>
  <w:style w:type="character" w:customStyle="1" w:styleId="MickeyDaz-SubttuloCar">
    <w:name w:val="Mickey Díaz - Subtítulo Car"/>
    <w:link w:val="MickeyDaz-Subttulo"/>
    <w:rsid w:val="009E1AFD"/>
    <w:rPr>
      <w:rFonts w:ascii="Calibri" w:eastAsia="Times New Roman" w:hAnsi="Calibri" w:cs="Times New Roman"/>
      <w:b/>
      <w:color w:val="1F497D"/>
      <w:lang w:val="es-ES" w:eastAsia="es-ES"/>
    </w:rPr>
  </w:style>
  <w:style w:type="character" w:customStyle="1" w:styleId="Ttulo2Car">
    <w:name w:val="Título 2 Car"/>
    <w:link w:val="Ttulo2"/>
    <w:uiPriority w:val="9"/>
    <w:rsid w:val="009E1AFD"/>
    <w:rPr>
      <w:rFonts w:ascii="Cambria" w:eastAsia="Times New Roman" w:hAnsi="Cambria" w:cs="Times New Roman"/>
      <w:b/>
      <w:bCs/>
      <w:color w:val="4F81BD"/>
      <w:sz w:val="26"/>
      <w:szCs w:val="26"/>
      <w:lang w:eastAsia="es-EC"/>
    </w:rPr>
  </w:style>
  <w:style w:type="character" w:customStyle="1" w:styleId="Ttulo3Car">
    <w:name w:val="Título 3 Car"/>
    <w:link w:val="Ttulo3"/>
    <w:uiPriority w:val="9"/>
    <w:rsid w:val="009E1AFD"/>
    <w:rPr>
      <w:rFonts w:ascii="Cambria" w:eastAsia="Times New Roman" w:hAnsi="Cambria" w:cs="Times New Roman"/>
      <w:b/>
      <w:bCs/>
      <w:color w:val="4F81BD"/>
      <w:lang w:eastAsia="es-EC"/>
    </w:rPr>
  </w:style>
  <w:style w:type="character" w:customStyle="1" w:styleId="Ttulo4Car">
    <w:name w:val="Título 4 Car"/>
    <w:link w:val="Ttulo4"/>
    <w:uiPriority w:val="9"/>
    <w:rsid w:val="009E1AFD"/>
    <w:rPr>
      <w:rFonts w:ascii="Cambria" w:eastAsia="Times New Roman" w:hAnsi="Cambria" w:cs="Times New Roman"/>
      <w:b/>
      <w:bCs/>
      <w:i/>
      <w:iCs/>
      <w:color w:val="4F81BD"/>
      <w:lang w:eastAsia="es-EC"/>
    </w:rPr>
  </w:style>
  <w:style w:type="character" w:customStyle="1" w:styleId="Ttulo5Car">
    <w:name w:val="Título 5 Car"/>
    <w:link w:val="Ttulo5"/>
    <w:uiPriority w:val="9"/>
    <w:rsid w:val="009E1AFD"/>
    <w:rPr>
      <w:rFonts w:ascii="Cambria" w:eastAsia="Times New Roman" w:hAnsi="Cambria" w:cs="Times New Roman"/>
      <w:color w:val="243F60"/>
      <w:lang w:eastAsia="es-EC"/>
    </w:rPr>
  </w:style>
  <w:style w:type="paragraph" w:styleId="TDC1">
    <w:name w:val="toc 1"/>
    <w:basedOn w:val="Normal"/>
    <w:next w:val="Normal"/>
    <w:autoRedefine/>
    <w:uiPriority w:val="39"/>
    <w:unhideWhenUsed/>
    <w:qFormat/>
    <w:rsid w:val="009E1AFD"/>
    <w:pPr>
      <w:spacing w:after="100"/>
    </w:pPr>
    <w:rPr>
      <w:rFonts w:eastAsia="Times New Roman"/>
    </w:rPr>
  </w:style>
  <w:style w:type="paragraph" w:styleId="TDC2">
    <w:name w:val="toc 2"/>
    <w:basedOn w:val="Normal"/>
    <w:next w:val="Normal"/>
    <w:autoRedefine/>
    <w:uiPriority w:val="39"/>
    <w:unhideWhenUsed/>
    <w:qFormat/>
    <w:rsid w:val="009E1AFD"/>
    <w:pPr>
      <w:spacing w:after="100"/>
      <w:ind w:left="220"/>
    </w:pPr>
    <w:rPr>
      <w:rFonts w:eastAsia="Times New Roman"/>
    </w:rPr>
  </w:style>
  <w:style w:type="paragraph" w:styleId="TDC3">
    <w:name w:val="toc 3"/>
    <w:basedOn w:val="Normal"/>
    <w:next w:val="Normal"/>
    <w:autoRedefine/>
    <w:uiPriority w:val="39"/>
    <w:unhideWhenUsed/>
    <w:qFormat/>
    <w:rsid w:val="009E1AFD"/>
    <w:pPr>
      <w:spacing w:after="100"/>
      <w:ind w:left="440"/>
    </w:pPr>
    <w:rPr>
      <w:rFonts w:eastAsia="Times New Roman"/>
    </w:rPr>
  </w:style>
  <w:style w:type="paragraph" w:styleId="Sinespaciado">
    <w:name w:val="No Spacing"/>
    <w:uiPriority w:val="1"/>
    <w:qFormat/>
    <w:rsid w:val="009E1AFD"/>
    <w:rPr>
      <w:rFonts w:eastAsia="Times New Roman"/>
      <w:sz w:val="22"/>
      <w:szCs w:val="22"/>
    </w:rPr>
  </w:style>
  <w:style w:type="character" w:customStyle="1" w:styleId="PrrafodelistaCar">
    <w:name w:val="Párrafo de lista Car"/>
    <w:link w:val="Prrafodelista"/>
    <w:uiPriority w:val="34"/>
    <w:rsid w:val="009E1AFD"/>
    <w:rPr>
      <w:rFonts w:ascii="Calibri" w:hAnsi="Calibri"/>
      <w:lang w:eastAsia="es-EC"/>
    </w:rPr>
  </w:style>
  <w:style w:type="character" w:styleId="nfasisintenso">
    <w:name w:val="Intense Emphasis"/>
    <w:aliases w:val="Mickey Título"/>
    <w:uiPriority w:val="21"/>
    <w:qFormat/>
    <w:rsid w:val="009E1AFD"/>
    <w:rPr>
      <w:b/>
      <w:bCs/>
      <w:i/>
      <w:iCs/>
      <w:color w:val="4F81BD"/>
    </w:rPr>
  </w:style>
  <w:style w:type="paragraph" w:styleId="TtulodeTDC">
    <w:name w:val="TOC Heading"/>
    <w:basedOn w:val="Ttulo1"/>
    <w:next w:val="Normal"/>
    <w:uiPriority w:val="39"/>
    <w:unhideWhenUsed/>
    <w:qFormat/>
    <w:rsid w:val="009E1AFD"/>
    <w:pPr>
      <w:outlineLvl w:val="9"/>
    </w:pPr>
  </w:style>
  <w:style w:type="character" w:customStyle="1" w:styleId="apple-converted-space">
    <w:name w:val="apple-converted-space"/>
    <w:basedOn w:val="Fuentedeprrafopredeter"/>
    <w:rsid w:val="006B211F"/>
  </w:style>
  <w:style w:type="character" w:styleId="nfasis">
    <w:name w:val="Emphasis"/>
    <w:uiPriority w:val="20"/>
    <w:qFormat/>
    <w:rsid w:val="006B211F"/>
    <w:rPr>
      <w:i/>
      <w:iCs/>
    </w:rPr>
  </w:style>
  <w:style w:type="paragraph" w:styleId="Textodeglobo">
    <w:name w:val="Balloon Text"/>
    <w:basedOn w:val="Normal"/>
    <w:link w:val="TextodegloboCar"/>
    <w:uiPriority w:val="99"/>
    <w:semiHidden/>
    <w:unhideWhenUsed/>
    <w:rsid w:val="006729CA"/>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6729CA"/>
    <w:rPr>
      <w:rFonts w:ascii="Tahoma" w:hAnsi="Tahoma" w:cs="Tahoma"/>
      <w:sz w:val="16"/>
      <w:szCs w:val="16"/>
      <w:lang w:eastAsia="es-EC"/>
    </w:rPr>
  </w:style>
  <w:style w:type="paragraph" w:styleId="NormalWeb">
    <w:name w:val="Normal (Web)"/>
    <w:basedOn w:val="Normal"/>
    <w:uiPriority w:val="99"/>
    <w:rsid w:val="00552849"/>
    <w:pPr>
      <w:spacing w:before="100" w:beforeAutospacing="1" w:after="100" w:afterAutospacing="1" w:line="240" w:lineRule="auto"/>
    </w:pPr>
    <w:rPr>
      <w:rFonts w:ascii="Times New Roman" w:eastAsia="Tw Cen MT" w:hAnsi="Times New Roman"/>
      <w:sz w:val="24"/>
      <w:szCs w:val="24"/>
      <w:lang w:val="es-ES" w:eastAsia="es-ES"/>
    </w:rPr>
  </w:style>
  <w:style w:type="paragraph" w:styleId="Textosinformato">
    <w:name w:val="Plain Text"/>
    <w:basedOn w:val="Normal"/>
    <w:link w:val="TextosinformatoCar"/>
    <w:uiPriority w:val="99"/>
    <w:unhideWhenUsed/>
    <w:rsid w:val="00552849"/>
    <w:pPr>
      <w:spacing w:after="0" w:line="240" w:lineRule="auto"/>
    </w:pPr>
    <w:rPr>
      <w:szCs w:val="21"/>
      <w:lang w:eastAsia="en-US"/>
    </w:rPr>
  </w:style>
  <w:style w:type="character" w:customStyle="1" w:styleId="TextosinformatoCar">
    <w:name w:val="Texto sin formato Car"/>
    <w:link w:val="Textosinformato"/>
    <w:uiPriority w:val="99"/>
    <w:rsid w:val="00552849"/>
    <w:rPr>
      <w:rFonts w:ascii="Calibri" w:hAnsi="Calibri"/>
      <w:szCs w:val="21"/>
    </w:rPr>
  </w:style>
  <w:style w:type="character" w:styleId="Hipervnculo">
    <w:name w:val="Hyperlink"/>
    <w:uiPriority w:val="99"/>
    <w:unhideWhenUsed/>
    <w:rsid w:val="00030D84"/>
    <w:rPr>
      <w:color w:val="0000FF"/>
      <w:u w:val="single"/>
    </w:rPr>
  </w:style>
  <w:style w:type="paragraph" w:styleId="Textonotapie">
    <w:name w:val="footnote text"/>
    <w:basedOn w:val="Normal"/>
    <w:link w:val="TextonotapieCar"/>
    <w:uiPriority w:val="99"/>
    <w:unhideWhenUsed/>
    <w:rsid w:val="00004233"/>
    <w:pPr>
      <w:spacing w:after="0" w:line="240" w:lineRule="auto"/>
    </w:pPr>
    <w:rPr>
      <w:sz w:val="20"/>
      <w:szCs w:val="20"/>
      <w:lang w:eastAsia="en-US"/>
    </w:rPr>
  </w:style>
  <w:style w:type="character" w:customStyle="1" w:styleId="TextonotapieCar">
    <w:name w:val="Texto nota pie Car"/>
    <w:link w:val="Textonotapie"/>
    <w:uiPriority w:val="99"/>
    <w:rsid w:val="00004233"/>
    <w:rPr>
      <w:rFonts w:ascii="Calibri" w:eastAsia="Calibri" w:hAnsi="Calibri" w:cs="Times New Roman"/>
      <w:sz w:val="20"/>
      <w:szCs w:val="20"/>
    </w:rPr>
  </w:style>
  <w:style w:type="character" w:styleId="Refdenotaalpie">
    <w:name w:val="footnote reference"/>
    <w:uiPriority w:val="99"/>
    <w:unhideWhenUsed/>
    <w:rsid w:val="00004233"/>
    <w:rPr>
      <w:vertAlign w:val="superscript"/>
    </w:rPr>
  </w:style>
  <w:style w:type="paragraph" w:styleId="Textoindependiente">
    <w:name w:val="Body Text"/>
    <w:basedOn w:val="Normal"/>
    <w:link w:val="TextoindependienteCar"/>
    <w:semiHidden/>
    <w:rsid w:val="00CF16E0"/>
    <w:pPr>
      <w:spacing w:after="0" w:line="240" w:lineRule="auto"/>
    </w:pPr>
    <w:rPr>
      <w:rFonts w:ascii="Times New Roman" w:eastAsia="Times New Roman" w:hAnsi="Times New Roman"/>
      <w:sz w:val="16"/>
      <w:szCs w:val="20"/>
      <w:lang w:eastAsia="es-ES"/>
    </w:rPr>
  </w:style>
  <w:style w:type="character" w:customStyle="1" w:styleId="TextoindependienteCar">
    <w:name w:val="Texto independiente Car"/>
    <w:link w:val="Textoindependiente"/>
    <w:semiHidden/>
    <w:rsid w:val="00CF16E0"/>
    <w:rPr>
      <w:rFonts w:ascii="Times New Roman" w:eastAsia="Times New Roman" w:hAnsi="Times New Roman" w:cs="Times New Roman"/>
      <w:sz w:val="16"/>
      <w:szCs w:val="20"/>
      <w:lang w:eastAsia="es-ES"/>
    </w:rPr>
  </w:style>
  <w:style w:type="paragraph" w:customStyle="1" w:styleId="Default">
    <w:name w:val="Default"/>
    <w:rsid w:val="00CF16E0"/>
    <w:pPr>
      <w:autoSpaceDE w:val="0"/>
      <w:autoSpaceDN w:val="0"/>
      <w:adjustRightInd w:val="0"/>
    </w:pPr>
    <w:rPr>
      <w:rFonts w:ascii="Arial" w:hAnsi="Arial" w:cs="Arial"/>
      <w:color w:val="000000"/>
      <w:sz w:val="24"/>
      <w:szCs w:val="24"/>
      <w:lang w:val="es-MX" w:eastAsia="es-MX"/>
    </w:rPr>
  </w:style>
  <w:style w:type="table" w:styleId="Tablaweb3">
    <w:name w:val="Table Web 3"/>
    <w:basedOn w:val="Tablanormal"/>
    <w:rsid w:val="002D24B0"/>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Encabezado">
    <w:name w:val="header"/>
    <w:basedOn w:val="Normal"/>
    <w:link w:val="EncabezadoCar"/>
    <w:uiPriority w:val="99"/>
    <w:unhideWhenUsed/>
    <w:rsid w:val="005A0B89"/>
    <w:pPr>
      <w:tabs>
        <w:tab w:val="center" w:pos="4419"/>
        <w:tab w:val="right" w:pos="8838"/>
      </w:tabs>
      <w:spacing w:after="0" w:line="240" w:lineRule="auto"/>
    </w:pPr>
  </w:style>
  <w:style w:type="character" w:customStyle="1" w:styleId="EncabezadoCar">
    <w:name w:val="Encabezado Car"/>
    <w:link w:val="Encabezado"/>
    <w:uiPriority w:val="99"/>
    <w:rsid w:val="005A0B89"/>
    <w:rPr>
      <w:rFonts w:ascii="Calibri" w:hAnsi="Calibri"/>
      <w:lang w:eastAsia="es-EC"/>
    </w:rPr>
  </w:style>
  <w:style w:type="paragraph" w:styleId="Piedepgina">
    <w:name w:val="footer"/>
    <w:basedOn w:val="Normal"/>
    <w:link w:val="PiedepginaCar"/>
    <w:uiPriority w:val="99"/>
    <w:unhideWhenUsed/>
    <w:rsid w:val="005A0B89"/>
    <w:pPr>
      <w:tabs>
        <w:tab w:val="center" w:pos="4419"/>
        <w:tab w:val="right" w:pos="8838"/>
      </w:tabs>
      <w:spacing w:after="0" w:line="240" w:lineRule="auto"/>
    </w:pPr>
  </w:style>
  <w:style w:type="character" w:customStyle="1" w:styleId="PiedepginaCar">
    <w:name w:val="Pie de página Car"/>
    <w:link w:val="Piedepgina"/>
    <w:uiPriority w:val="99"/>
    <w:rsid w:val="005A0B89"/>
    <w:rPr>
      <w:rFonts w:ascii="Calibri" w:hAnsi="Calibri"/>
      <w:lang w:eastAsia="es-EC"/>
    </w:rPr>
  </w:style>
  <w:style w:type="paragraph" w:customStyle="1" w:styleId="CEC00D05F4354E1094F28D836D46DBBF">
    <w:name w:val="CEC00D05F4354E1094F28D836D46DBBF"/>
    <w:rsid w:val="00C616E7"/>
    <w:pPr>
      <w:spacing w:after="200" w:line="276" w:lineRule="auto"/>
    </w:pPr>
    <w:rPr>
      <w:rFonts w:eastAsia="Times New Roman"/>
      <w:sz w:val="22"/>
      <w:szCs w:val="22"/>
    </w:rPr>
  </w:style>
  <w:style w:type="character" w:customStyle="1" w:styleId="estilo4">
    <w:name w:val="estilo4"/>
    <w:basedOn w:val="Fuentedeprrafopredeter"/>
    <w:rsid w:val="00A64F29"/>
  </w:style>
  <w:style w:type="paragraph" w:styleId="Textocomentario">
    <w:name w:val="annotation text"/>
    <w:basedOn w:val="Normal"/>
    <w:link w:val="TextocomentarioCar"/>
    <w:uiPriority w:val="99"/>
    <w:unhideWhenUsed/>
    <w:rsid w:val="00A64F29"/>
    <w:pPr>
      <w:spacing w:after="0" w:line="240" w:lineRule="auto"/>
    </w:pPr>
    <w:rPr>
      <w:rFonts w:ascii="Times New Roman" w:eastAsia="Batang" w:hAnsi="Times New Roman"/>
      <w:sz w:val="20"/>
      <w:szCs w:val="20"/>
      <w:lang w:val="es-ES" w:eastAsia="ko-KR"/>
    </w:rPr>
  </w:style>
  <w:style w:type="character" w:customStyle="1" w:styleId="TextocomentarioCar">
    <w:name w:val="Texto comentario Car"/>
    <w:link w:val="Textocomentario"/>
    <w:uiPriority w:val="99"/>
    <w:rsid w:val="00A64F29"/>
    <w:rPr>
      <w:rFonts w:ascii="Times New Roman" w:eastAsia="Batang" w:hAnsi="Times New Roman" w:cs="Times New Roman"/>
      <w:sz w:val="20"/>
      <w:szCs w:val="20"/>
      <w:lang w:val="es-ES" w:eastAsia="ko-KR"/>
    </w:rPr>
  </w:style>
  <w:style w:type="character" w:styleId="Refdecomentario">
    <w:name w:val="annotation reference"/>
    <w:uiPriority w:val="99"/>
    <w:semiHidden/>
    <w:unhideWhenUsed/>
    <w:rsid w:val="00224EC3"/>
    <w:rPr>
      <w:sz w:val="16"/>
      <w:szCs w:val="16"/>
    </w:rPr>
  </w:style>
  <w:style w:type="paragraph" w:styleId="Asuntodelcomentario">
    <w:name w:val="annotation subject"/>
    <w:basedOn w:val="Textocomentario"/>
    <w:next w:val="Textocomentario"/>
    <w:link w:val="AsuntodelcomentarioCar"/>
    <w:uiPriority w:val="99"/>
    <w:semiHidden/>
    <w:unhideWhenUsed/>
    <w:rsid w:val="00224EC3"/>
    <w:pPr>
      <w:spacing w:after="200"/>
    </w:pPr>
    <w:rPr>
      <w:rFonts w:ascii="Calibri" w:eastAsia="Calibri" w:hAnsi="Calibri"/>
      <w:b/>
      <w:bCs/>
      <w:lang w:val="es-EC" w:eastAsia="es-EC"/>
    </w:rPr>
  </w:style>
  <w:style w:type="character" w:customStyle="1" w:styleId="AsuntodelcomentarioCar">
    <w:name w:val="Asunto del comentario Car"/>
    <w:link w:val="Asuntodelcomentario"/>
    <w:uiPriority w:val="99"/>
    <w:semiHidden/>
    <w:rsid w:val="00224EC3"/>
    <w:rPr>
      <w:rFonts w:ascii="Calibri" w:eastAsia="Batang" w:hAnsi="Calibri" w:cs="Times New Roman"/>
      <w:b/>
      <w:bCs/>
      <w:sz w:val="20"/>
      <w:szCs w:val="20"/>
      <w:lang w:val="es-ES" w:eastAsia="es-EC"/>
    </w:rPr>
  </w:style>
  <w:style w:type="paragraph" w:customStyle="1" w:styleId="default0">
    <w:name w:val="default"/>
    <w:basedOn w:val="Normal"/>
    <w:rsid w:val="00CD3B2E"/>
    <w:pPr>
      <w:autoSpaceDE w:val="0"/>
      <w:autoSpaceDN w:val="0"/>
      <w:spacing w:after="0" w:line="240" w:lineRule="auto"/>
    </w:pPr>
    <w:rPr>
      <w:rFonts w:ascii="Arial" w:hAnsi="Arial" w:cs="Arial"/>
      <w:color w:val="000000"/>
      <w:sz w:val="24"/>
      <w:szCs w:val="24"/>
      <w:lang w:val="en-US" w:eastAsia="en-US"/>
    </w:rPr>
  </w:style>
  <w:style w:type="character" w:styleId="Textodelmarcadordeposicin">
    <w:name w:val="Placeholder Text"/>
    <w:uiPriority w:val="99"/>
    <w:semiHidden/>
    <w:rsid w:val="006F7FE0"/>
    <w:rPr>
      <w:color w:val="808080"/>
    </w:rPr>
  </w:style>
  <w:style w:type="character" w:styleId="Hipervnculovisitado">
    <w:name w:val="FollowedHyperlink"/>
    <w:basedOn w:val="Fuentedeprrafopredeter"/>
    <w:uiPriority w:val="99"/>
    <w:semiHidden/>
    <w:unhideWhenUsed/>
    <w:rsid w:val="0002675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EC" w:eastAsia="es-EC"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Web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1AFD"/>
    <w:pPr>
      <w:spacing w:after="200" w:line="276" w:lineRule="auto"/>
    </w:pPr>
    <w:rPr>
      <w:sz w:val="22"/>
      <w:szCs w:val="22"/>
    </w:rPr>
  </w:style>
  <w:style w:type="paragraph" w:styleId="Ttulo1">
    <w:name w:val="heading 1"/>
    <w:aliases w:val="titulo 1"/>
    <w:basedOn w:val="Normal"/>
    <w:next w:val="Normal"/>
    <w:link w:val="Ttulo1Car"/>
    <w:autoRedefine/>
    <w:uiPriority w:val="9"/>
    <w:qFormat/>
    <w:rsid w:val="00CD3B2E"/>
    <w:pPr>
      <w:keepNext/>
      <w:keepLines/>
      <w:spacing w:before="480" w:after="0"/>
      <w:outlineLvl w:val="0"/>
    </w:pPr>
    <w:rPr>
      <w:rFonts w:eastAsia="Times New Roman" w:cs="Calibri"/>
      <w:b/>
      <w:bCs/>
      <w:color w:val="365F91"/>
    </w:rPr>
  </w:style>
  <w:style w:type="paragraph" w:styleId="Ttulo2">
    <w:name w:val="heading 2"/>
    <w:basedOn w:val="Normal"/>
    <w:next w:val="Normal"/>
    <w:link w:val="Ttulo2Car"/>
    <w:uiPriority w:val="9"/>
    <w:unhideWhenUsed/>
    <w:qFormat/>
    <w:rsid w:val="009E1AFD"/>
    <w:pPr>
      <w:keepNext/>
      <w:keepLines/>
      <w:spacing w:before="200" w:after="0"/>
      <w:outlineLvl w:val="1"/>
    </w:pPr>
    <w:rPr>
      <w:rFonts w:ascii="Cambria" w:eastAsia="Times New Roman" w:hAnsi="Cambria"/>
      <w:b/>
      <w:bCs/>
      <w:color w:val="4F81BD"/>
      <w:sz w:val="26"/>
      <w:szCs w:val="26"/>
    </w:rPr>
  </w:style>
  <w:style w:type="paragraph" w:styleId="Ttulo3">
    <w:name w:val="heading 3"/>
    <w:basedOn w:val="Normal"/>
    <w:next w:val="Normal"/>
    <w:link w:val="Ttulo3Car"/>
    <w:uiPriority w:val="9"/>
    <w:unhideWhenUsed/>
    <w:qFormat/>
    <w:rsid w:val="009E1AFD"/>
    <w:pPr>
      <w:keepNext/>
      <w:keepLines/>
      <w:spacing w:before="200" w:after="0"/>
      <w:outlineLvl w:val="2"/>
    </w:pPr>
    <w:rPr>
      <w:rFonts w:ascii="Cambria" w:eastAsia="Times New Roman" w:hAnsi="Cambria"/>
      <w:b/>
      <w:bCs/>
      <w:color w:val="4F81BD"/>
    </w:rPr>
  </w:style>
  <w:style w:type="paragraph" w:styleId="Ttulo4">
    <w:name w:val="heading 4"/>
    <w:basedOn w:val="Normal"/>
    <w:next w:val="Normal"/>
    <w:link w:val="Ttulo4Car"/>
    <w:uiPriority w:val="9"/>
    <w:unhideWhenUsed/>
    <w:qFormat/>
    <w:rsid w:val="009E1AFD"/>
    <w:pPr>
      <w:keepNext/>
      <w:keepLines/>
      <w:spacing w:before="200" w:after="0"/>
      <w:outlineLvl w:val="3"/>
    </w:pPr>
    <w:rPr>
      <w:rFonts w:ascii="Cambria" w:eastAsia="Times New Roman" w:hAnsi="Cambria"/>
      <w:b/>
      <w:bCs/>
      <w:i/>
      <w:iCs/>
      <w:color w:val="4F81BD"/>
    </w:rPr>
  </w:style>
  <w:style w:type="paragraph" w:styleId="Ttulo5">
    <w:name w:val="heading 5"/>
    <w:basedOn w:val="Normal"/>
    <w:next w:val="Normal"/>
    <w:link w:val="Ttulo5Car"/>
    <w:uiPriority w:val="9"/>
    <w:unhideWhenUsed/>
    <w:qFormat/>
    <w:rsid w:val="009E1AFD"/>
    <w:pPr>
      <w:keepNext/>
      <w:keepLines/>
      <w:spacing w:before="200" w:after="0"/>
      <w:outlineLvl w:val="4"/>
    </w:pPr>
    <w:rPr>
      <w:rFonts w:ascii="Cambria" w:eastAsia="Times New Roman" w:hAnsi="Cambria"/>
      <w:color w:val="243F6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titulo 1 Car"/>
    <w:link w:val="Ttulo1"/>
    <w:uiPriority w:val="9"/>
    <w:rsid w:val="00CD3B2E"/>
    <w:rPr>
      <w:rFonts w:eastAsia="Times New Roman" w:cs="Calibri"/>
      <w:b/>
      <w:bCs/>
      <w:color w:val="365F91"/>
      <w:lang w:eastAsia="es-EC"/>
    </w:rPr>
  </w:style>
  <w:style w:type="paragraph" w:customStyle="1" w:styleId="MickeyDazTtulo">
    <w:name w:val="Mickey Dïaz Título"/>
    <w:basedOn w:val="Prrafodelista"/>
    <w:link w:val="MickeyDazTtuloCar"/>
    <w:qFormat/>
    <w:rsid w:val="009E1AFD"/>
    <w:pPr>
      <w:spacing w:after="0" w:line="240" w:lineRule="auto"/>
      <w:ind w:left="360" w:hanging="360"/>
    </w:pPr>
    <w:rPr>
      <w:rFonts w:eastAsia="Times New Roman"/>
      <w:color w:val="1F497D"/>
      <w:sz w:val="24"/>
      <w:lang w:val="es-ES" w:eastAsia="es-ES"/>
    </w:rPr>
  </w:style>
  <w:style w:type="character" w:customStyle="1" w:styleId="MickeyDazTtuloCar">
    <w:name w:val="Mickey Dïaz Título Car"/>
    <w:link w:val="MickeyDazTtulo"/>
    <w:rsid w:val="009E1AFD"/>
    <w:rPr>
      <w:rFonts w:ascii="Calibri" w:eastAsia="Times New Roman" w:hAnsi="Calibri" w:cs="Times New Roman"/>
      <w:color w:val="1F497D"/>
      <w:sz w:val="24"/>
      <w:lang w:val="es-ES" w:eastAsia="es-ES"/>
    </w:rPr>
  </w:style>
  <w:style w:type="paragraph" w:styleId="Prrafodelista">
    <w:name w:val="List Paragraph"/>
    <w:basedOn w:val="Normal"/>
    <w:link w:val="PrrafodelistaCar"/>
    <w:uiPriority w:val="34"/>
    <w:qFormat/>
    <w:rsid w:val="009E1AFD"/>
    <w:pPr>
      <w:ind w:left="720"/>
      <w:contextualSpacing/>
    </w:pPr>
  </w:style>
  <w:style w:type="paragraph" w:customStyle="1" w:styleId="MickeyDaz-Subttulo">
    <w:name w:val="Mickey Díaz - Subtítulo"/>
    <w:basedOn w:val="Prrafodelista"/>
    <w:link w:val="MickeyDaz-SubttuloCar"/>
    <w:qFormat/>
    <w:rsid w:val="009E1AFD"/>
    <w:pPr>
      <w:spacing w:after="0" w:line="240" w:lineRule="auto"/>
      <w:ind w:left="1080" w:hanging="360"/>
      <w:jc w:val="both"/>
    </w:pPr>
    <w:rPr>
      <w:rFonts w:eastAsia="Times New Roman"/>
      <w:b/>
      <w:color w:val="1F497D"/>
      <w:lang w:val="es-ES" w:eastAsia="es-ES"/>
    </w:rPr>
  </w:style>
  <w:style w:type="character" w:customStyle="1" w:styleId="MickeyDaz-SubttuloCar">
    <w:name w:val="Mickey Díaz - Subtítulo Car"/>
    <w:link w:val="MickeyDaz-Subttulo"/>
    <w:rsid w:val="009E1AFD"/>
    <w:rPr>
      <w:rFonts w:ascii="Calibri" w:eastAsia="Times New Roman" w:hAnsi="Calibri" w:cs="Times New Roman"/>
      <w:b/>
      <w:color w:val="1F497D"/>
      <w:lang w:val="es-ES" w:eastAsia="es-ES"/>
    </w:rPr>
  </w:style>
  <w:style w:type="character" w:customStyle="1" w:styleId="Ttulo2Car">
    <w:name w:val="Título 2 Car"/>
    <w:link w:val="Ttulo2"/>
    <w:uiPriority w:val="9"/>
    <w:rsid w:val="009E1AFD"/>
    <w:rPr>
      <w:rFonts w:ascii="Cambria" w:eastAsia="Times New Roman" w:hAnsi="Cambria" w:cs="Times New Roman"/>
      <w:b/>
      <w:bCs/>
      <w:color w:val="4F81BD"/>
      <w:sz w:val="26"/>
      <w:szCs w:val="26"/>
      <w:lang w:eastAsia="es-EC"/>
    </w:rPr>
  </w:style>
  <w:style w:type="character" w:customStyle="1" w:styleId="Ttulo3Car">
    <w:name w:val="Título 3 Car"/>
    <w:link w:val="Ttulo3"/>
    <w:uiPriority w:val="9"/>
    <w:rsid w:val="009E1AFD"/>
    <w:rPr>
      <w:rFonts w:ascii="Cambria" w:eastAsia="Times New Roman" w:hAnsi="Cambria" w:cs="Times New Roman"/>
      <w:b/>
      <w:bCs/>
      <w:color w:val="4F81BD"/>
      <w:lang w:eastAsia="es-EC"/>
    </w:rPr>
  </w:style>
  <w:style w:type="character" w:customStyle="1" w:styleId="Ttulo4Car">
    <w:name w:val="Título 4 Car"/>
    <w:link w:val="Ttulo4"/>
    <w:uiPriority w:val="9"/>
    <w:rsid w:val="009E1AFD"/>
    <w:rPr>
      <w:rFonts w:ascii="Cambria" w:eastAsia="Times New Roman" w:hAnsi="Cambria" w:cs="Times New Roman"/>
      <w:b/>
      <w:bCs/>
      <w:i/>
      <w:iCs/>
      <w:color w:val="4F81BD"/>
      <w:lang w:eastAsia="es-EC"/>
    </w:rPr>
  </w:style>
  <w:style w:type="character" w:customStyle="1" w:styleId="Ttulo5Car">
    <w:name w:val="Título 5 Car"/>
    <w:link w:val="Ttulo5"/>
    <w:uiPriority w:val="9"/>
    <w:rsid w:val="009E1AFD"/>
    <w:rPr>
      <w:rFonts w:ascii="Cambria" w:eastAsia="Times New Roman" w:hAnsi="Cambria" w:cs="Times New Roman"/>
      <w:color w:val="243F60"/>
      <w:lang w:eastAsia="es-EC"/>
    </w:rPr>
  </w:style>
  <w:style w:type="paragraph" w:styleId="TDC1">
    <w:name w:val="toc 1"/>
    <w:basedOn w:val="Normal"/>
    <w:next w:val="Normal"/>
    <w:autoRedefine/>
    <w:uiPriority w:val="39"/>
    <w:unhideWhenUsed/>
    <w:qFormat/>
    <w:rsid w:val="009E1AFD"/>
    <w:pPr>
      <w:spacing w:after="100"/>
    </w:pPr>
    <w:rPr>
      <w:rFonts w:eastAsia="Times New Roman"/>
    </w:rPr>
  </w:style>
  <w:style w:type="paragraph" w:styleId="TDC2">
    <w:name w:val="toc 2"/>
    <w:basedOn w:val="Normal"/>
    <w:next w:val="Normal"/>
    <w:autoRedefine/>
    <w:uiPriority w:val="39"/>
    <w:unhideWhenUsed/>
    <w:qFormat/>
    <w:rsid w:val="009E1AFD"/>
    <w:pPr>
      <w:spacing w:after="100"/>
      <w:ind w:left="220"/>
    </w:pPr>
    <w:rPr>
      <w:rFonts w:eastAsia="Times New Roman"/>
    </w:rPr>
  </w:style>
  <w:style w:type="paragraph" w:styleId="TDC3">
    <w:name w:val="toc 3"/>
    <w:basedOn w:val="Normal"/>
    <w:next w:val="Normal"/>
    <w:autoRedefine/>
    <w:uiPriority w:val="39"/>
    <w:unhideWhenUsed/>
    <w:qFormat/>
    <w:rsid w:val="009E1AFD"/>
    <w:pPr>
      <w:spacing w:after="100"/>
      <w:ind w:left="440"/>
    </w:pPr>
    <w:rPr>
      <w:rFonts w:eastAsia="Times New Roman"/>
    </w:rPr>
  </w:style>
  <w:style w:type="paragraph" w:styleId="Sinespaciado">
    <w:name w:val="No Spacing"/>
    <w:uiPriority w:val="1"/>
    <w:qFormat/>
    <w:rsid w:val="009E1AFD"/>
    <w:rPr>
      <w:rFonts w:eastAsia="Times New Roman"/>
      <w:sz w:val="22"/>
      <w:szCs w:val="22"/>
    </w:rPr>
  </w:style>
  <w:style w:type="character" w:customStyle="1" w:styleId="PrrafodelistaCar">
    <w:name w:val="Párrafo de lista Car"/>
    <w:link w:val="Prrafodelista"/>
    <w:uiPriority w:val="34"/>
    <w:rsid w:val="009E1AFD"/>
    <w:rPr>
      <w:rFonts w:ascii="Calibri" w:hAnsi="Calibri"/>
      <w:lang w:eastAsia="es-EC"/>
    </w:rPr>
  </w:style>
  <w:style w:type="character" w:styleId="nfasisintenso">
    <w:name w:val="Intense Emphasis"/>
    <w:aliases w:val="Mickey Título"/>
    <w:uiPriority w:val="21"/>
    <w:qFormat/>
    <w:rsid w:val="009E1AFD"/>
    <w:rPr>
      <w:b/>
      <w:bCs/>
      <w:i/>
      <w:iCs/>
      <w:color w:val="4F81BD"/>
    </w:rPr>
  </w:style>
  <w:style w:type="paragraph" w:styleId="TtulodeTDC">
    <w:name w:val="TOC Heading"/>
    <w:basedOn w:val="Ttulo1"/>
    <w:next w:val="Normal"/>
    <w:uiPriority w:val="39"/>
    <w:unhideWhenUsed/>
    <w:qFormat/>
    <w:rsid w:val="009E1AFD"/>
    <w:pPr>
      <w:outlineLvl w:val="9"/>
    </w:pPr>
  </w:style>
  <w:style w:type="character" w:customStyle="1" w:styleId="apple-converted-space">
    <w:name w:val="apple-converted-space"/>
    <w:basedOn w:val="Fuentedeprrafopredeter"/>
    <w:rsid w:val="006B211F"/>
  </w:style>
  <w:style w:type="character" w:styleId="nfasis">
    <w:name w:val="Emphasis"/>
    <w:uiPriority w:val="20"/>
    <w:qFormat/>
    <w:rsid w:val="006B211F"/>
    <w:rPr>
      <w:i/>
      <w:iCs/>
    </w:rPr>
  </w:style>
  <w:style w:type="paragraph" w:styleId="Textodeglobo">
    <w:name w:val="Balloon Text"/>
    <w:basedOn w:val="Normal"/>
    <w:link w:val="TextodegloboCar"/>
    <w:uiPriority w:val="99"/>
    <w:semiHidden/>
    <w:unhideWhenUsed/>
    <w:rsid w:val="006729CA"/>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6729CA"/>
    <w:rPr>
      <w:rFonts w:ascii="Tahoma" w:hAnsi="Tahoma" w:cs="Tahoma"/>
      <w:sz w:val="16"/>
      <w:szCs w:val="16"/>
      <w:lang w:eastAsia="es-EC"/>
    </w:rPr>
  </w:style>
  <w:style w:type="paragraph" w:styleId="NormalWeb">
    <w:name w:val="Normal (Web)"/>
    <w:basedOn w:val="Normal"/>
    <w:uiPriority w:val="99"/>
    <w:rsid w:val="00552849"/>
    <w:pPr>
      <w:spacing w:before="100" w:beforeAutospacing="1" w:after="100" w:afterAutospacing="1" w:line="240" w:lineRule="auto"/>
    </w:pPr>
    <w:rPr>
      <w:rFonts w:ascii="Times New Roman" w:eastAsia="Tw Cen MT" w:hAnsi="Times New Roman"/>
      <w:sz w:val="24"/>
      <w:szCs w:val="24"/>
      <w:lang w:val="es-ES" w:eastAsia="es-ES"/>
    </w:rPr>
  </w:style>
  <w:style w:type="paragraph" w:styleId="Textosinformato">
    <w:name w:val="Plain Text"/>
    <w:basedOn w:val="Normal"/>
    <w:link w:val="TextosinformatoCar"/>
    <w:uiPriority w:val="99"/>
    <w:unhideWhenUsed/>
    <w:rsid w:val="00552849"/>
    <w:pPr>
      <w:spacing w:after="0" w:line="240" w:lineRule="auto"/>
    </w:pPr>
    <w:rPr>
      <w:szCs w:val="21"/>
      <w:lang w:eastAsia="en-US"/>
    </w:rPr>
  </w:style>
  <w:style w:type="character" w:customStyle="1" w:styleId="TextosinformatoCar">
    <w:name w:val="Texto sin formato Car"/>
    <w:link w:val="Textosinformato"/>
    <w:uiPriority w:val="99"/>
    <w:rsid w:val="00552849"/>
    <w:rPr>
      <w:rFonts w:ascii="Calibri" w:hAnsi="Calibri"/>
      <w:szCs w:val="21"/>
    </w:rPr>
  </w:style>
  <w:style w:type="character" w:styleId="Hipervnculo">
    <w:name w:val="Hyperlink"/>
    <w:uiPriority w:val="99"/>
    <w:unhideWhenUsed/>
    <w:rsid w:val="00030D84"/>
    <w:rPr>
      <w:color w:val="0000FF"/>
      <w:u w:val="single"/>
    </w:rPr>
  </w:style>
  <w:style w:type="paragraph" w:styleId="Textonotapie">
    <w:name w:val="footnote text"/>
    <w:basedOn w:val="Normal"/>
    <w:link w:val="TextonotapieCar"/>
    <w:uiPriority w:val="99"/>
    <w:unhideWhenUsed/>
    <w:rsid w:val="00004233"/>
    <w:pPr>
      <w:spacing w:after="0" w:line="240" w:lineRule="auto"/>
    </w:pPr>
    <w:rPr>
      <w:sz w:val="20"/>
      <w:szCs w:val="20"/>
      <w:lang w:eastAsia="en-US"/>
    </w:rPr>
  </w:style>
  <w:style w:type="character" w:customStyle="1" w:styleId="TextonotapieCar">
    <w:name w:val="Texto nota pie Car"/>
    <w:link w:val="Textonotapie"/>
    <w:uiPriority w:val="99"/>
    <w:rsid w:val="00004233"/>
    <w:rPr>
      <w:rFonts w:ascii="Calibri" w:eastAsia="Calibri" w:hAnsi="Calibri" w:cs="Times New Roman"/>
      <w:sz w:val="20"/>
      <w:szCs w:val="20"/>
    </w:rPr>
  </w:style>
  <w:style w:type="character" w:styleId="Refdenotaalpie">
    <w:name w:val="footnote reference"/>
    <w:uiPriority w:val="99"/>
    <w:unhideWhenUsed/>
    <w:rsid w:val="00004233"/>
    <w:rPr>
      <w:vertAlign w:val="superscript"/>
    </w:rPr>
  </w:style>
  <w:style w:type="paragraph" w:styleId="Textoindependiente">
    <w:name w:val="Body Text"/>
    <w:basedOn w:val="Normal"/>
    <w:link w:val="TextoindependienteCar"/>
    <w:semiHidden/>
    <w:rsid w:val="00CF16E0"/>
    <w:pPr>
      <w:spacing w:after="0" w:line="240" w:lineRule="auto"/>
    </w:pPr>
    <w:rPr>
      <w:rFonts w:ascii="Times New Roman" w:eastAsia="Times New Roman" w:hAnsi="Times New Roman"/>
      <w:sz w:val="16"/>
      <w:szCs w:val="20"/>
      <w:lang w:eastAsia="es-ES"/>
    </w:rPr>
  </w:style>
  <w:style w:type="character" w:customStyle="1" w:styleId="TextoindependienteCar">
    <w:name w:val="Texto independiente Car"/>
    <w:link w:val="Textoindependiente"/>
    <w:semiHidden/>
    <w:rsid w:val="00CF16E0"/>
    <w:rPr>
      <w:rFonts w:ascii="Times New Roman" w:eastAsia="Times New Roman" w:hAnsi="Times New Roman" w:cs="Times New Roman"/>
      <w:sz w:val="16"/>
      <w:szCs w:val="20"/>
      <w:lang w:eastAsia="es-ES"/>
    </w:rPr>
  </w:style>
  <w:style w:type="paragraph" w:customStyle="1" w:styleId="Default">
    <w:name w:val="Default"/>
    <w:rsid w:val="00CF16E0"/>
    <w:pPr>
      <w:autoSpaceDE w:val="0"/>
      <w:autoSpaceDN w:val="0"/>
      <w:adjustRightInd w:val="0"/>
    </w:pPr>
    <w:rPr>
      <w:rFonts w:ascii="Arial" w:hAnsi="Arial" w:cs="Arial"/>
      <w:color w:val="000000"/>
      <w:sz w:val="24"/>
      <w:szCs w:val="24"/>
      <w:lang w:val="es-MX" w:eastAsia="es-MX"/>
    </w:rPr>
  </w:style>
  <w:style w:type="table" w:styleId="Tablaweb3">
    <w:name w:val="Table Web 3"/>
    <w:basedOn w:val="Tablanormal"/>
    <w:rsid w:val="002D24B0"/>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Encabezado">
    <w:name w:val="header"/>
    <w:basedOn w:val="Normal"/>
    <w:link w:val="EncabezadoCar"/>
    <w:uiPriority w:val="99"/>
    <w:unhideWhenUsed/>
    <w:rsid w:val="005A0B89"/>
    <w:pPr>
      <w:tabs>
        <w:tab w:val="center" w:pos="4419"/>
        <w:tab w:val="right" w:pos="8838"/>
      </w:tabs>
      <w:spacing w:after="0" w:line="240" w:lineRule="auto"/>
    </w:pPr>
  </w:style>
  <w:style w:type="character" w:customStyle="1" w:styleId="EncabezadoCar">
    <w:name w:val="Encabezado Car"/>
    <w:link w:val="Encabezado"/>
    <w:uiPriority w:val="99"/>
    <w:rsid w:val="005A0B89"/>
    <w:rPr>
      <w:rFonts w:ascii="Calibri" w:hAnsi="Calibri"/>
      <w:lang w:eastAsia="es-EC"/>
    </w:rPr>
  </w:style>
  <w:style w:type="paragraph" w:styleId="Piedepgina">
    <w:name w:val="footer"/>
    <w:basedOn w:val="Normal"/>
    <w:link w:val="PiedepginaCar"/>
    <w:uiPriority w:val="99"/>
    <w:unhideWhenUsed/>
    <w:rsid w:val="005A0B89"/>
    <w:pPr>
      <w:tabs>
        <w:tab w:val="center" w:pos="4419"/>
        <w:tab w:val="right" w:pos="8838"/>
      </w:tabs>
      <w:spacing w:after="0" w:line="240" w:lineRule="auto"/>
    </w:pPr>
  </w:style>
  <w:style w:type="character" w:customStyle="1" w:styleId="PiedepginaCar">
    <w:name w:val="Pie de página Car"/>
    <w:link w:val="Piedepgina"/>
    <w:uiPriority w:val="99"/>
    <w:rsid w:val="005A0B89"/>
    <w:rPr>
      <w:rFonts w:ascii="Calibri" w:hAnsi="Calibri"/>
      <w:lang w:eastAsia="es-EC"/>
    </w:rPr>
  </w:style>
  <w:style w:type="paragraph" w:customStyle="1" w:styleId="CEC00D05F4354E1094F28D836D46DBBF">
    <w:name w:val="CEC00D05F4354E1094F28D836D46DBBF"/>
    <w:rsid w:val="00C616E7"/>
    <w:pPr>
      <w:spacing w:after="200" w:line="276" w:lineRule="auto"/>
    </w:pPr>
    <w:rPr>
      <w:rFonts w:eastAsia="Times New Roman"/>
      <w:sz w:val="22"/>
      <w:szCs w:val="22"/>
    </w:rPr>
  </w:style>
  <w:style w:type="character" w:customStyle="1" w:styleId="estilo4">
    <w:name w:val="estilo4"/>
    <w:basedOn w:val="Fuentedeprrafopredeter"/>
    <w:rsid w:val="00A64F29"/>
  </w:style>
  <w:style w:type="paragraph" w:styleId="Textocomentario">
    <w:name w:val="annotation text"/>
    <w:basedOn w:val="Normal"/>
    <w:link w:val="TextocomentarioCar"/>
    <w:uiPriority w:val="99"/>
    <w:unhideWhenUsed/>
    <w:rsid w:val="00A64F29"/>
    <w:pPr>
      <w:spacing w:after="0" w:line="240" w:lineRule="auto"/>
    </w:pPr>
    <w:rPr>
      <w:rFonts w:ascii="Times New Roman" w:eastAsia="Batang" w:hAnsi="Times New Roman"/>
      <w:sz w:val="20"/>
      <w:szCs w:val="20"/>
      <w:lang w:val="es-ES" w:eastAsia="ko-KR"/>
    </w:rPr>
  </w:style>
  <w:style w:type="character" w:customStyle="1" w:styleId="TextocomentarioCar">
    <w:name w:val="Texto comentario Car"/>
    <w:link w:val="Textocomentario"/>
    <w:uiPriority w:val="99"/>
    <w:rsid w:val="00A64F29"/>
    <w:rPr>
      <w:rFonts w:ascii="Times New Roman" w:eastAsia="Batang" w:hAnsi="Times New Roman" w:cs="Times New Roman"/>
      <w:sz w:val="20"/>
      <w:szCs w:val="20"/>
      <w:lang w:val="es-ES" w:eastAsia="ko-KR"/>
    </w:rPr>
  </w:style>
  <w:style w:type="character" w:styleId="Refdecomentario">
    <w:name w:val="annotation reference"/>
    <w:uiPriority w:val="99"/>
    <w:semiHidden/>
    <w:unhideWhenUsed/>
    <w:rsid w:val="00224EC3"/>
    <w:rPr>
      <w:sz w:val="16"/>
      <w:szCs w:val="16"/>
    </w:rPr>
  </w:style>
  <w:style w:type="paragraph" w:styleId="Asuntodelcomentario">
    <w:name w:val="annotation subject"/>
    <w:basedOn w:val="Textocomentario"/>
    <w:next w:val="Textocomentario"/>
    <w:link w:val="AsuntodelcomentarioCar"/>
    <w:uiPriority w:val="99"/>
    <w:semiHidden/>
    <w:unhideWhenUsed/>
    <w:rsid w:val="00224EC3"/>
    <w:pPr>
      <w:spacing w:after="200"/>
    </w:pPr>
    <w:rPr>
      <w:rFonts w:ascii="Calibri" w:eastAsia="Calibri" w:hAnsi="Calibri"/>
      <w:b/>
      <w:bCs/>
      <w:lang w:val="es-EC" w:eastAsia="es-EC"/>
    </w:rPr>
  </w:style>
  <w:style w:type="character" w:customStyle="1" w:styleId="AsuntodelcomentarioCar">
    <w:name w:val="Asunto del comentario Car"/>
    <w:link w:val="Asuntodelcomentario"/>
    <w:uiPriority w:val="99"/>
    <w:semiHidden/>
    <w:rsid w:val="00224EC3"/>
    <w:rPr>
      <w:rFonts w:ascii="Calibri" w:eastAsia="Batang" w:hAnsi="Calibri" w:cs="Times New Roman"/>
      <w:b/>
      <w:bCs/>
      <w:sz w:val="20"/>
      <w:szCs w:val="20"/>
      <w:lang w:val="es-ES" w:eastAsia="es-EC"/>
    </w:rPr>
  </w:style>
  <w:style w:type="paragraph" w:customStyle="1" w:styleId="default0">
    <w:name w:val="default"/>
    <w:basedOn w:val="Normal"/>
    <w:rsid w:val="00CD3B2E"/>
    <w:pPr>
      <w:autoSpaceDE w:val="0"/>
      <w:autoSpaceDN w:val="0"/>
      <w:spacing w:after="0" w:line="240" w:lineRule="auto"/>
    </w:pPr>
    <w:rPr>
      <w:rFonts w:ascii="Arial" w:hAnsi="Arial" w:cs="Arial"/>
      <w:color w:val="000000"/>
      <w:sz w:val="24"/>
      <w:szCs w:val="24"/>
      <w:lang w:val="en-US" w:eastAsia="en-US"/>
    </w:rPr>
  </w:style>
  <w:style w:type="character" w:styleId="Textodelmarcadordeposicin">
    <w:name w:val="Placeholder Text"/>
    <w:uiPriority w:val="99"/>
    <w:semiHidden/>
    <w:rsid w:val="006F7FE0"/>
    <w:rPr>
      <w:color w:val="808080"/>
    </w:rPr>
  </w:style>
  <w:style w:type="character" w:styleId="Hipervnculovisitado">
    <w:name w:val="FollowedHyperlink"/>
    <w:basedOn w:val="Fuentedeprrafopredeter"/>
    <w:uiPriority w:val="99"/>
    <w:semiHidden/>
    <w:unhideWhenUsed/>
    <w:rsid w:val="0002675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93183">
      <w:bodyDiv w:val="1"/>
      <w:marLeft w:val="0"/>
      <w:marRight w:val="0"/>
      <w:marTop w:val="0"/>
      <w:marBottom w:val="0"/>
      <w:divBdr>
        <w:top w:val="none" w:sz="0" w:space="0" w:color="auto"/>
        <w:left w:val="none" w:sz="0" w:space="0" w:color="auto"/>
        <w:bottom w:val="none" w:sz="0" w:space="0" w:color="auto"/>
        <w:right w:val="none" w:sz="0" w:space="0" w:color="auto"/>
      </w:divBdr>
    </w:div>
    <w:div w:id="44565920">
      <w:bodyDiv w:val="1"/>
      <w:marLeft w:val="0"/>
      <w:marRight w:val="0"/>
      <w:marTop w:val="0"/>
      <w:marBottom w:val="0"/>
      <w:divBdr>
        <w:top w:val="none" w:sz="0" w:space="0" w:color="auto"/>
        <w:left w:val="none" w:sz="0" w:space="0" w:color="auto"/>
        <w:bottom w:val="none" w:sz="0" w:space="0" w:color="auto"/>
        <w:right w:val="none" w:sz="0" w:space="0" w:color="auto"/>
      </w:divBdr>
    </w:div>
    <w:div w:id="452094136">
      <w:bodyDiv w:val="1"/>
      <w:marLeft w:val="0"/>
      <w:marRight w:val="0"/>
      <w:marTop w:val="0"/>
      <w:marBottom w:val="0"/>
      <w:divBdr>
        <w:top w:val="none" w:sz="0" w:space="0" w:color="auto"/>
        <w:left w:val="none" w:sz="0" w:space="0" w:color="auto"/>
        <w:bottom w:val="none" w:sz="0" w:space="0" w:color="auto"/>
        <w:right w:val="none" w:sz="0" w:space="0" w:color="auto"/>
      </w:divBdr>
    </w:div>
    <w:div w:id="502168856">
      <w:bodyDiv w:val="1"/>
      <w:marLeft w:val="0"/>
      <w:marRight w:val="0"/>
      <w:marTop w:val="0"/>
      <w:marBottom w:val="0"/>
      <w:divBdr>
        <w:top w:val="none" w:sz="0" w:space="0" w:color="auto"/>
        <w:left w:val="none" w:sz="0" w:space="0" w:color="auto"/>
        <w:bottom w:val="none" w:sz="0" w:space="0" w:color="auto"/>
        <w:right w:val="none" w:sz="0" w:space="0" w:color="auto"/>
      </w:divBdr>
    </w:div>
    <w:div w:id="512261556">
      <w:bodyDiv w:val="1"/>
      <w:marLeft w:val="0"/>
      <w:marRight w:val="0"/>
      <w:marTop w:val="0"/>
      <w:marBottom w:val="0"/>
      <w:divBdr>
        <w:top w:val="none" w:sz="0" w:space="0" w:color="auto"/>
        <w:left w:val="none" w:sz="0" w:space="0" w:color="auto"/>
        <w:bottom w:val="none" w:sz="0" w:space="0" w:color="auto"/>
        <w:right w:val="none" w:sz="0" w:space="0" w:color="auto"/>
      </w:divBdr>
    </w:div>
    <w:div w:id="522523328">
      <w:bodyDiv w:val="1"/>
      <w:marLeft w:val="0"/>
      <w:marRight w:val="0"/>
      <w:marTop w:val="0"/>
      <w:marBottom w:val="0"/>
      <w:divBdr>
        <w:top w:val="none" w:sz="0" w:space="0" w:color="auto"/>
        <w:left w:val="none" w:sz="0" w:space="0" w:color="auto"/>
        <w:bottom w:val="none" w:sz="0" w:space="0" w:color="auto"/>
        <w:right w:val="none" w:sz="0" w:space="0" w:color="auto"/>
      </w:divBdr>
    </w:div>
    <w:div w:id="764038798">
      <w:bodyDiv w:val="1"/>
      <w:marLeft w:val="0"/>
      <w:marRight w:val="0"/>
      <w:marTop w:val="0"/>
      <w:marBottom w:val="0"/>
      <w:divBdr>
        <w:top w:val="none" w:sz="0" w:space="0" w:color="auto"/>
        <w:left w:val="none" w:sz="0" w:space="0" w:color="auto"/>
        <w:bottom w:val="none" w:sz="0" w:space="0" w:color="auto"/>
        <w:right w:val="none" w:sz="0" w:space="0" w:color="auto"/>
      </w:divBdr>
    </w:div>
    <w:div w:id="859396159">
      <w:bodyDiv w:val="1"/>
      <w:marLeft w:val="0"/>
      <w:marRight w:val="0"/>
      <w:marTop w:val="0"/>
      <w:marBottom w:val="0"/>
      <w:divBdr>
        <w:top w:val="none" w:sz="0" w:space="0" w:color="auto"/>
        <w:left w:val="none" w:sz="0" w:space="0" w:color="auto"/>
        <w:bottom w:val="none" w:sz="0" w:space="0" w:color="auto"/>
        <w:right w:val="none" w:sz="0" w:space="0" w:color="auto"/>
      </w:divBdr>
    </w:div>
    <w:div w:id="1168787387">
      <w:bodyDiv w:val="1"/>
      <w:marLeft w:val="0"/>
      <w:marRight w:val="0"/>
      <w:marTop w:val="0"/>
      <w:marBottom w:val="0"/>
      <w:divBdr>
        <w:top w:val="none" w:sz="0" w:space="0" w:color="auto"/>
        <w:left w:val="none" w:sz="0" w:space="0" w:color="auto"/>
        <w:bottom w:val="none" w:sz="0" w:space="0" w:color="auto"/>
        <w:right w:val="none" w:sz="0" w:space="0" w:color="auto"/>
      </w:divBdr>
    </w:div>
    <w:div w:id="1180045749">
      <w:bodyDiv w:val="1"/>
      <w:marLeft w:val="0"/>
      <w:marRight w:val="0"/>
      <w:marTop w:val="0"/>
      <w:marBottom w:val="0"/>
      <w:divBdr>
        <w:top w:val="none" w:sz="0" w:space="0" w:color="auto"/>
        <w:left w:val="none" w:sz="0" w:space="0" w:color="auto"/>
        <w:bottom w:val="none" w:sz="0" w:space="0" w:color="auto"/>
        <w:right w:val="none" w:sz="0" w:space="0" w:color="auto"/>
      </w:divBdr>
    </w:div>
    <w:div w:id="1406221956">
      <w:bodyDiv w:val="1"/>
      <w:marLeft w:val="0"/>
      <w:marRight w:val="0"/>
      <w:marTop w:val="0"/>
      <w:marBottom w:val="0"/>
      <w:divBdr>
        <w:top w:val="none" w:sz="0" w:space="0" w:color="auto"/>
        <w:left w:val="none" w:sz="0" w:space="0" w:color="auto"/>
        <w:bottom w:val="none" w:sz="0" w:space="0" w:color="auto"/>
        <w:right w:val="none" w:sz="0" w:space="0" w:color="auto"/>
      </w:divBdr>
    </w:div>
    <w:div w:id="1476608911">
      <w:bodyDiv w:val="1"/>
      <w:marLeft w:val="0"/>
      <w:marRight w:val="0"/>
      <w:marTop w:val="0"/>
      <w:marBottom w:val="0"/>
      <w:divBdr>
        <w:top w:val="none" w:sz="0" w:space="0" w:color="auto"/>
        <w:left w:val="none" w:sz="0" w:space="0" w:color="auto"/>
        <w:bottom w:val="none" w:sz="0" w:space="0" w:color="auto"/>
        <w:right w:val="none" w:sz="0" w:space="0" w:color="auto"/>
      </w:divBdr>
    </w:div>
    <w:div w:id="1642071939">
      <w:bodyDiv w:val="1"/>
      <w:marLeft w:val="0"/>
      <w:marRight w:val="0"/>
      <w:marTop w:val="0"/>
      <w:marBottom w:val="0"/>
      <w:divBdr>
        <w:top w:val="none" w:sz="0" w:space="0" w:color="auto"/>
        <w:left w:val="none" w:sz="0" w:space="0" w:color="auto"/>
        <w:bottom w:val="none" w:sz="0" w:space="0" w:color="auto"/>
        <w:right w:val="none" w:sz="0" w:space="0" w:color="auto"/>
      </w:divBdr>
    </w:div>
    <w:div w:id="1741631004">
      <w:bodyDiv w:val="1"/>
      <w:marLeft w:val="0"/>
      <w:marRight w:val="0"/>
      <w:marTop w:val="0"/>
      <w:marBottom w:val="0"/>
      <w:divBdr>
        <w:top w:val="none" w:sz="0" w:space="0" w:color="auto"/>
        <w:left w:val="none" w:sz="0" w:space="0" w:color="auto"/>
        <w:bottom w:val="none" w:sz="0" w:space="0" w:color="auto"/>
        <w:right w:val="none" w:sz="0" w:space="0" w:color="auto"/>
      </w:divBdr>
    </w:div>
    <w:div w:id="1931114643">
      <w:bodyDiv w:val="1"/>
      <w:marLeft w:val="0"/>
      <w:marRight w:val="0"/>
      <w:marTop w:val="0"/>
      <w:marBottom w:val="0"/>
      <w:divBdr>
        <w:top w:val="none" w:sz="0" w:space="0" w:color="auto"/>
        <w:left w:val="none" w:sz="0" w:space="0" w:color="auto"/>
        <w:bottom w:val="none" w:sz="0" w:space="0" w:color="auto"/>
        <w:right w:val="none" w:sz="0" w:space="0" w:color="auto"/>
      </w:divBdr>
    </w:div>
    <w:div w:id="2023898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419F91-B6D7-4C06-B3EF-C26A99C591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852</Words>
  <Characters>4692</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Dirección de Normativas y Metodologías del SEN – DINME  gnogales</dc:creator>
  <cp:lastModifiedBy>Laura Jimenez</cp:lastModifiedBy>
  <cp:revision>5</cp:revision>
  <cp:lastPrinted>2016-11-14T20:46:00Z</cp:lastPrinted>
  <dcterms:created xsi:type="dcterms:W3CDTF">2017-06-13T19:57:00Z</dcterms:created>
  <dcterms:modified xsi:type="dcterms:W3CDTF">2017-06-13T20:54:00Z</dcterms:modified>
</cp:coreProperties>
</file>