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1960"/>
        <w:gridCol w:w="1296"/>
        <w:gridCol w:w="1248"/>
        <w:gridCol w:w="2306"/>
        <w:gridCol w:w="2444"/>
      </w:tblGrid>
      <w:tr w:rsidR="00030D84" w:rsidRPr="00C427B5" w:rsidTr="0018362F">
        <w:trPr>
          <w:trHeight w:val="415"/>
          <w:tblCellSpacing w:w="20" w:type="dxa"/>
        </w:trPr>
        <w:tc>
          <w:tcPr>
            <w:tcW w:w="4964" w:type="pct"/>
            <w:gridSpan w:val="5"/>
            <w:shd w:val="clear" w:color="auto" w:fill="365F91"/>
            <w:noWrap/>
            <w:vAlign w:val="center"/>
            <w:hideMark/>
          </w:tcPr>
          <w:p w:rsidR="00030D84" w:rsidRPr="00C427B5" w:rsidRDefault="00030D84" w:rsidP="00004233">
            <w:pPr>
              <w:jc w:val="center"/>
              <w:rPr>
                <w:rFonts w:ascii="Arial" w:eastAsia="Times New Roman" w:hAnsi="Arial" w:cs="Arial"/>
                <w:b/>
                <w:bCs/>
                <w:color w:val="FFFFFF"/>
                <w:sz w:val="20"/>
                <w:szCs w:val="20"/>
              </w:rPr>
            </w:pPr>
            <w:r w:rsidRPr="00C427B5">
              <w:rPr>
                <w:rFonts w:ascii="Arial" w:eastAsia="Times New Roman" w:hAnsi="Arial" w:cs="Arial"/>
                <w:b/>
                <w:bCs/>
                <w:color w:val="FFFFFF"/>
                <w:sz w:val="20"/>
                <w:szCs w:val="20"/>
              </w:rPr>
              <w:t>FICHA METODOLÓGICA</w:t>
            </w:r>
            <w:r w:rsidR="00C427B5" w:rsidRPr="00C427B5">
              <w:rPr>
                <w:rFonts w:ascii="Arial" w:eastAsia="Times New Roman" w:hAnsi="Arial" w:cs="Arial"/>
                <w:b/>
                <w:bCs/>
                <w:color w:val="FFFFFF"/>
                <w:sz w:val="20"/>
                <w:szCs w:val="20"/>
              </w:rPr>
              <w:t>-INDICADORES ODS</w:t>
            </w:r>
          </w:p>
        </w:tc>
      </w:tr>
      <w:tr w:rsidR="00030D84" w:rsidRPr="00C427B5" w:rsidTr="00C427B5">
        <w:trPr>
          <w:trHeight w:val="636"/>
          <w:tblCellSpacing w:w="20" w:type="dxa"/>
        </w:trPr>
        <w:tc>
          <w:tcPr>
            <w:tcW w:w="1730" w:type="pct"/>
            <w:gridSpan w:val="2"/>
            <w:shd w:val="clear" w:color="auto" w:fill="C6D9F1"/>
            <w:vAlign w:val="center"/>
            <w:hideMark/>
          </w:tcPr>
          <w:p w:rsidR="00030D84" w:rsidRPr="00C427B5" w:rsidRDefault="00030D84" w:rsidP="00004233">
            <w:pPr>
              <w:rPr>
                <w:rFonts w:ascii="Arial" w:eastAsia="Times New Roman" w:hAnsi="Arial" w:cs="Arial"/>
                <w:b/>
                <w:bCs/>
                <w:sz w:val="20"/>
                <w:szCs w:val="20"/>
              </w:rPr>
            </w:pPr>
            <w:r w:rsidRPr="00C427B5">
              <w:rPr>
                <w:rFonts w:ascii="Arial" w:eastAsia="Times New Roman" w:hAnsi="Arial" w:cs="Arial"/>
                <w:b/>
                <w:bCs/>
                <w:sz w:val="20"/>
                <w:szCs w:val="20"/>
              </w:rPr>
              <w:t>NOMBRE DEL INDICADOR</w:t>
            </w:r>
          </w:p>
        </w:tc>
        <w:tc>
          <w:tcPr>
            <w:tcW w:w="3216" w:type="pct"/>
            <w:gridSpan w:val="3"/>
            <w:shd w:val="clear" w:color="auto" w:fill="auto"/>
            <w:vAlign w:val="center"/>
            <w:hideMark/>
          </w:tcPr>
          <w:p w:rsidR="0060627E" w:rsidRPr="00C427B5" w:rsidRDefault="0060627E" w:rsidP="001B6A44">
            <w:pPr>
              <w:spacing w:after="0" w:line="240" w:lineRule="auto"/>
              <w:jc w:val="both"/>
              <w:rPr>
                <w:rFonts w:ascii="Arial" w:eastAsia="Times New Roman" w:hAnsi="Arial" w:cs="Arial"/>
                <w:b/>
                <w:color w:val="000000"/>
                <w:sz w:val="20"/>
                <w:szCs w:val="20"/>
              </w:rPr>
            </w:pPr>
            <w:r w:rsidRPr="00C427B5">
              <w:rPr>
                <w:rFonts w:ascii="Arial" w:eastAsia="Times New Roman" w:hAnsi="Arial" w:cs="Arial"/>
                <w:b/>
                <w:color w:val="000000"/>
                <w:sz w:val="20"/>
                <w:szCs w:val="20"/>
              </w:rPr>
              <w:t>Indicadores de Solidez Financiera</w:t>
            </w:r>
          </w:p>
          <w:p w:rsidR="00C427B5" w:rsidRPr="00C427B5" w:rsidRDefault="00C427B5" w:rsidP="001B6A44">
            <w:pPr>
              <w:spacing w:after="0" w:line="240" w:lineRule="auto"/>
              <w:jc w:val="both"/>
              <w:rPr>
                <w:rFonts w:ascii="Arial" w:eastAsia="Times New Roman" w:hAnsi="Arial" w:cs="Arial"/>
                <w:b/>
                <w:color w:val="000000"/>
                <w:sz w:val="20"/>
                <w:szCs w:val="20"/>
              </w:rPr>
            </w:pPr>
          </w:p>
          <w:p w:rsidR="00030D84" w:rsidRPr="007068A4" w:rsidRDefault="0060627E" w:rsidP="001B6A44">
            <w:pPr>
              <w:spacing w:after="0" w:line="240" w:lineRule="auto"/>
              <w:jc w:val="both"/>
              <w:rPr>
                <w:rFonts w:ascii="Arial" w:eastAsia="Times New Roman" w:hAnsi="Arial" w:cs="Arial"/>
                <w:b/>
                <w:i/>
                <w:color w:val="000000"/>
                <w:sz w:val="20"/>
                <w:szCs w:val="20"/>
              </w:rPr>
            </w:pPr>
            <w:r w:rsidRPr="007068A4">
              <w:rPr>
                <w:rFonts w:ascii="Arial" w:eastAsia="Times New Roman" w:hAnsi="Arial" w:cs="Arial"/>
                <w:b/>
                <w:i/>
                <w:color w:val="000000"/>
                <w:sz w:val="20"/>
                <w:szCs w:val="20"/>
              </w:rPr>
              <w:t xml:space="preserve">3. </w:t>
            </w:r>
            <w:r w:rsidR="00245AC4" w:rsidRPr="007068A4">
              <w:rPr>
                <w:rFonts w:ascii="Arial" w:eastAsia="Times New Roman" w:hAnsi="Arial" w:cs="Arial"/>
                <w:b/>
                <w:i/>
                <w:color w:val="000000"/>
                <w:sz w:val="20"/>
                <w:szCs w:val="20"/>
              </w:rPr>
              <w:t>Suficiencia de capital regulador</w:t>
            </w:r>
          </w:p>
        </w:tc>
      </w:tr>
      <w:tr w:rsidR="00030D84" w:rsidRPr="00C427B5" w:rsidTr="0018362F">
        <w:trPr>
          <w:trHeight w:val="1949"/>
          <w:tblCellSpacing w:w="20" w:type="dxa"/>
        </w:trPr>
        <w:tc>
          <w:tcPr>
            <w:tcW w:w="1730" w:type="pct"/>
            <w:gridSpan w:val="2"/>
            <w:shd w:val="clear" w:color="auto" w:fill="C6D9F1"/>
            <w:vAlign w:val="center"/>
            <w:hideMark/>
          </w:tcPr>
          <w:p w:rsidR="00030D84" w:rsidRPr="00C427B5" w:rsidRDefault="00030D84" w:rsidP="00004233">
            <w:pPr>
              <w:rPr>
                <w:rFonts w:ascii="Arial" w:eastAsia="Times New Roman" w:hAnsi="Arial" w:cs="Arial"/>
                <w:b/>
                <w:bCs/>
                <w:sz w:val="20"/>
                <w:szCs w:val="20"/>
              </w:rPr>
            </w:pPr>
            <w:r w:rsidRPr="00C427B5">
              <w:rPr>
                <w:rFonts w:ascii="Arial" w:eastAsia="Times New Roman" w:hAnsi="Arial" w:cs="Arial"/>
                <w:b/>
                <w:bCs/>
                <w:sz w:val="20"/>
                <w:szCs w:val="20"/>
              </w:rPr>
              <w:t>DEFINICIÓN</w:t>
            </w:r>
          </w:p>
        </w:tc>
        <w:tc>
          <w:tcPr>
            <w:tcW w:w="3216" w:type="pct"/>
            <w:gridSpan w:val="3"/>
            <w:shd w:val="clear" w:color="auto" w:fill="auto"/>
            <w:vAlign w:val="center"/>
            <w:hideMark/>
          </w:tcPr>
          <w:p w:rsidR="00387A9E" w:rsidRPr="00C427B5" w:rsidRDefault="00026754" w:rsidP="006E0782">
            <w:pPr>
              <w:shd w:val="clear" w:color="auto" w:fill="FFFFFF"/>
              <w:spacing w:before="182" w:line="211" w:lineRule="exact"/>
              <w:jc w:val="both"/>
              <w:rPr>
                <w:rFonts w:ascii="Arial" w:hAnsi="Arial" w:cs="Arial"/>
                <w:b/>
                <w:bCs/>
                <w:sz w:val="20"/>
                <w:szCs w:val="20"/>
                <w:lang w:val="es-ES_tradnl"/>
              </w:rPr>
            </w:pPr>
            <w:r w:rsidRPr="00C427B5">
              <w:rPr>
                <w:rFonts w:ascii="Arial" w:hAnsi="Arial" w:cs="Arial"/>
                <w:sz w:val="20"/>
                <w:szCs w:val="20"/>
              </w:rPr>
              <w:t>El coeficiente de suficiencia de capital tiene el propósito de evaluar si las instituciones financieras tienen suficiente capital para sobreponerse a posibles perturbaciones económicas.</w:t>
            </w:r>
          </w:p>
          <w:p w:rsidR="00030D84" w:rsidRPr="00C427B5" w:rsidRDefault="006E0782" w:rsidP="006E0782">
            <w:pPr>
              <w:shd w:val="clear" w:color="auto" w:fill="FFFFFF"/>
              <w:spacing w:before="182" w:line="211" w:lineRule="exact"/>
              <w:jc w:val="both"/>
              <w:rPr>
                <w:rFonts w:ascii="Arial" w:hAnsi="Arial" w:cs="Arial"/>
                <w:sz w:val="20"/>
                <w:szCs w:val="20"/>
              </w:rPr>
            </w:pPr>
            <w:r w:rsidRPr="00C427B5">
              <w:rPr>
                <w:rFonts w:ascii="Arial" w:hAnsi="Arial" w:cs="Arial"/>
                <w:sz w:val="20"/>
                <w:szCs w:val="20"/>
                <w:lang w:val="es-ES_tradnl"/>
              </w:rPr>
              <w:t>Las entidades del sistema financiero nacional deberán mantener la suficiencia patrimonial para respaldar las operaciones actuales y futuras de la entidad, para cubrir las pérdidas no protegidas por las provisiones de los activos de riesgo y para apuntalar el adecuado desempeño macroeconómico.</w:t>
            </w:r>
          </w:p>
        </w:tc>
      </w:tr>
      <w:tr w:rsidR="00030D84" w:rsidRPr="00C427B5" w:rsidTr="00C427B5">
        <w:trPr>
          <w:trHeight w:val="513"/>
          <w:tblCellSpacing w:w="20" w:type="dxa"/>
        </w:trPr>
        <w:tc>
          <w:tcPr>
            <w:tcW w:w="4964" w:type="pct"/>
            <w:gridSpan w:val="5"/>
            <w:shd w:val="clear" w:color="auto" w:fill="C6D9F1"/>
            <w:vAlign w:val="center"/>
            <w:hideMark/>
          </w:tcPr>
          <w:p w:rsidR="00030D84" w:rsidRPr="00C427B5" w:rsidRDefault="00C022E1" w:rsidP="00004233">
            <w:pPr>
              <w:jc w:val="center"/>
              <w:rPr>
                <w:rFonts w:ascii="Arial" w:eastAsia="Times New Roman" w:hAnsi="Arial" w:cs="Arial"/>
                <w:b/>
                <w:bCs/>
                <w:sz w:val="20"/>
                <w:szCs w:val="20"/>
              </w:rPr>
            </w:pPr>
            <w:r w:rsidRPr="00C427B5">
              <w:rPr>
                <w:rFonts w:ascii="Arial" w:eastAsia="Times New Roman" w:hAnsi="Arial" w:cs="Arial"/>
                <w:b/>
                <w:bCs/>
                <w:sz w:val="20"/>
                <w:szCs w:val="20"/>
              </w:rPr>
              <w:t>FÓRMULA DE CÁ</w:t>
            </w:r>
            <w:r w:rsidR="00030D84" w:rsidRPr="00C427B5">
              <w:rPr>
                <w:rFonts w:ascii="Arial" w:eastAsia="Times New Roman" w:hAnsi="Arial" w:cs="Arial"/>
                <w:b/>
                <w:bCs/>
                <w:sz w:val="20"/>
                <w:szCs w:val="20"/>
              </w:rPr>
              <w:t>LCULO</w:t>
            </w:r>
          </w:p>
        </w:tc>
      </w:tr>
      <w:tr w:rsidR="004E7BA5" w:rsidRPr="00C427B5" w:rsidTr="0018362F">
        <w:trPr>
          <w:trHeight w:val="705"/>
          <w:tblCellSpacing w:w="20" w:type="dxa"/>
        </w:trPr>
        <w:tc>
          <w:tcPr>
            <w:tcW w:w="4964" w:type="pct"/>
            <w:gridSpan w:val="5"/>
            <w:shd w:val="clear" w:color="auto" w:fill="auto"/>
          </w:tcPr>
          <w:p w:rsidR="00026754" w:rsidRPr="00C427B5" w:rsidRDefault="00026754" w:rsidP="00FE1326">
            <w:pPr>
              <w:autoSpaceDE w:val="0"/>
              <w:autoSpaceDN w:val="0"/>
              <w:adjustRightInd w:val="0"/>
              <w:spacing w:after="0" w:line="240" w:lineRule="auto"/>
              <w:jc w:val="center"/>
              <w:rPr>
                <w:rFonts w:ascii="Arial" w:eastAsia="Times New Roman" w:hAnsi="Arial" w:cs="Arial"/>
                <w:color w:val="000000"/>
                <w:sz w:val="20"/>
                <w:szCs w:val="20"/>
              </w:rPr>
            </w:pPr>
            <w:r w:rsidRPr="00C427B5">
              <w:rPr>
                <w:rFonts w:ascii="Arial" w:eastAsia="Times New Roman" w:hAnsi="Arial" w:cs="Arial"/>
                <w:color w:val="000000"/>
                <w:sz w:val="20"/>
                <w:szCs w:val="20"/>
              </w:rPr>
              <w:t>Capital regulador / activos ponderados en función del riesgo (I001)</w:t>
            </w:r>
          </w:p>
          <w:p w:rsidR="00026754" w:rsidRPr="00C427B5" w:rsidRDefault="00026754" w:rsidP="00FE1326">
            <w:pPr>
              <w:autoSpaceDE w:val="0"/>
              <w:autoSpaceDN w:val="0"/>
              <w:adjustRightInd w:val="0"/>
              <w:spacing w:after="0" w:line="240" w:lineRule="auto"/>
              <w:jc w:val="center"/>
              <w:rPr>
                <w:rFonts w:ascii="Arial" w:eastAsia="Times New Roman" w:hAnsi="Arial" w:cs="Arial"/>
                <w:bCs/>
                <w:sz w:val="20"/>
                <w:szCs w:val="20"/>
              </w:rPr>
            </w:pPr>
          </w:p>
          <w:p w:rsidR="004E7BA5" w:rsidRPr="00C427B5" w:rsidRDefault="00FE1326" w:rsidP="00FE1326">
            <w:pPr>
              <w:autoSpaceDE w:val="0"/>
              <w:autoSpaceDN w:val="0"/>
              <w:adjustRightInd w:val="0"/>
              <w:spacing w:after="0" w:line="240" w:lineRule="auto"/>
              <w:jc w:val="center"/>
              <w:rPr>
                <w:rFonts w:ascii="Arial" w:eastAsia="Times New Roman" w:hAnsi="Arial" w:cs="Arial"/>
                <w:b/>
                <w:bCs/>
                <w:sz w:val="20"/>
                <w:szCs w:val="20"/>
              </w:rPr>
            </w:pPr>
            <w:r w:rsidRPr="00C427B5">
              <w:rPr>
                <w:rFonts w:ascii="Arial" w:eastAsia="Times New Roman" w:hAnsi="Arial" w:cs="Arial"/>
                <w:bCs/>
                <w:sz w:val="20"/>
                <w:szCs w:val="20"/>
              </w:rPr>
              <w:t>Patrimonio técnico constituido /Activos y contingentes ponderados por riesgo</w:t>
            </w:r>
          </w:p>
        </w:tc>
      </w:tr>
      <w:tr w:rsidR="004E7BA5" w:rsidRPr="00C427B5" w:rsidTr="00C427B5">
        <w:trPr>
          <w:trHeight w:val="513"/>
          <w:tblCellSpacing w:w="20" w:type="dxa"/>
        </w:trPr>
        <w:tc>
          <w:tcPr>
            <w:tcW w:w="4964" w:type="pct"/>
            <w:gridSpan w:val="5"/>
            <w:shd w:val="clear" w:color="auto" w:fill="C6D9F1"/>
            <w:vAlign w:val="center"/>
            <w:hideMark/>
          </w:tcPr>
          <w:p w:rsidR="004E7BA5" w:rsidRPr="00C427B5" w:rsidRDefault="004E7BA5" w:rsidP="00004233">
            <w:pPr>
              <w:jc w:val="center"/>
              <w:rPr>
                <w:rFonts w:ascii="Arial" w:eastAsia="Times New Roman" w:hAnsi="Arial" w:cs="Arial"/>
                <w:b/>
                <w:bCs/>
                <w:sz w:val="20"/>
                <w:szCs w:val="20"/>
              </w:rPr>
            </w:pPr>
            <w:r w:rsidRPr="00C427B5">
              <w:rPr>
                <w:rFonts w:ascii="Arial" w:eastAsia="Times New Roman" w:hAnsi="Arial" w:cs="Arial"/>
                <w:b/>
                <w:bCs/>
                <w:sz w:val="20"/>
                <w:szCs w:val="20"/>
              </w:rPr>
              <w:t>DEFINICIÓN DE LAS VARIABLES RELACIONADAS</w:t>
            </w:r>
          </w:p>
        </w:tc>
      </w:tr>
      <w:tr w:rsidR="004E7BA5" w:rsidRPr="00C427B5" w:rsidTr="00325DFD">
        <w:trPr>
          <w:trHeight w:val="5785"/>
          <w:tblCellSpacing w:w="20" w:type="dxa"/>
        </w:trPr>
        <w:tc>
          <w:tcPr>
            <w:tcW w:w="4964" w:type="pct"/>
            <w:gridSpan w:val="5"/>
            <w:shd w:val="clear" w:color="auto" w:fill="auto"/>
          </w:tcPr>
          <w:p w:rsidR="00A05573" w:rsidRPr="00C427B5" w:rsidRDefault="0047207E" w:rsidP="00A05573">
            <w:pPr>
              <w:jc w:val="both"/>
              <w:rPr>
                <w:rFonts w:ascii="Arial" w:hAnsi="Arial" w:cs="Arial"/>
                <w:sz w:val="20"/>
                <w:szCs w:val="20"/>
              </w:rPr>
            </w:pPr>
            <w:r w:rsidRPr="00C427B5">
              <w:rPr>
                <w:rFonts w:ascii="Arial" w:hAnsi="Arial" w:cs="Arial"/>
                <w:sz w:val="20"/>
                <w:szCs w:val="20"/>
              </w:rPr>
              <w:t xml:space="preserve">El concepto de </w:t>
            </w:r>
            <w:r w:rsidR="004E7BA5" w:rsidRPr="00C427B5">
              <w:rPr>
                <w:rFonts w:ascii="Arial" w:hAnsi="Arial" w:cs="Arial"/>
                <w:b/>
                <w:sz w:val="20"/>
                <w:szCs w:val="20"/>
              </w:rPr>
              <w:t>Capital Regulador</w:t>
            </w:r>
            <w:r w:rsidR="00387A9E" w:rsidRPr="00C427B5">
              <w:rPr>
                <w:rStyle w:val="Refdenotaalpie"/>
                <w:rFonts w:ascii="Arial" w:hAnsi="Arial" w:cs="Arial"/>
                <w:b/>
                <w:sz w:val="20"/>
                <w:szCs w:val="20"/>
              </w:rPr>
              <w:footnoteReference w:id="1"/>
            </w:r>
            <w:r w:rsidR="004E7BA5" w:rsidRPr="00C427B5">
              <w:rPr>
                <w:rFonts w:ascii="Arial" w:hAnsi="Arial" w:cs="Arial"/>
                <w:sz w:val="20"/>
                <w:szCs w:val="20"/>
              </w:rPr>
              <w:t xml:space="preserve"> </w:t>
            </w:r>
            <w:r w:rsidRPr="00C427B5">
              <w:rPr>
                <w:rFonts w:ascii="Arial" w:hAnsi="Arial" w:cs="Arial"/>
                <w:sz w:val="20"/>
                <w:szCs w:val="20"/>
              </w:rPr>
              <w:t>de los Indicadores de Solidez Financiera</w:t>
            </w:r>
            <w:r w:rsidR="004E7BA5" w:rsidRPr="00C427B5">
              <w:rPr>
                <w:rFonts w:ascii="Arial" w:hAnsi="Arial" w:cs="Arial"/>
                <w:sz w:val="20"/>
                <w:szCs w:val="20"/>
              </w:rPr>
              <w:t xml:space="preserve"> corresponde a</w:t>
            </w:r>
            <w:r w:rsidR="00C427B5" w:rsidRPr="00C427B5">
              <w:rPr>
                <w:rFonts w:ascii="Arial" w:hAnsi="Arial" w:cs="Arial"/>
                <w:sz w:val="20"/>
                <w:szCs w:val="20"/>
              </w:rPr>
              <w:t>l:</w:t>
            </w:r>
          </w:p>
          <w:p w:rsidR="00A05573" w:rsidRPr="00C427B5" w:rsidRDefault="0047207E" w:rsidP="009B1DB6">
            <w:pPr>
              <w:pStyle w:val="Prrafodelista"/>
              <w:numPr>
                <w:ilvl w:val="0"/>
                <w:numId w:val="34"/>
              </w:numPr>
              <w:jc w:val="both"/>
              <w:rPr>
                <w:rFonts w:ascii="Arial" w:hAnsi="Arial" w:cs="Arial"/>
                <w:sz w:val="20"/>
                <w:szCs w:val="20"/>
              </w:rPr>
            </w:pPr>
            <w:r w:rsidRPr="00C427B5">
              <w:rPr>
                <w:rFonts w:ascii="Arial" w:hAnsi="Arial" w:cs="Arial"/>
                <w:b/>
                <w:sz w:val="20"/>
                <w:szCs w:val="20"/>
              </w:rPr>
              <w:t>P</w:t>
            </w:r>
            <w:r w:rsidR="004E7BA5" w:rsidRPr="00C427B5">
              <w:rPr>
                <w:rFonts w:ascii="Arial" w:hAnsi="Arial" w:cs="Arial"/>
                <w:b/>
                <w:sz w:val="20"/>
                <w:szCs w:val="20"/>
              </w:rPr>
              <w:t>atrimonio</w:t>
            </w:r>
            <w:r w:rsidR="004E7BA5" w:rsidRPr="00C427B5">
              <w:rPr>
                <w:rFonts w:ascii="Arial" w:hAnsi="Arial" w:cs="Arial"/>
                <w:sz w:val="20"/>
                <w:szCs w:val="20"/>
              </w:rPr>
              <w:t xml:space="preserve"> </w:t>
            </w:r>
            <w:r w:rsidRPr="00C427B5">
              <w:rPr>
                <w:rFonts w:ascii="Arial" w:hAnsi="Arial" w:cs="Arial"/>
                <w:b/>
                <w:sz w:val="20"/>
                <w:szCs w:val="20"/>
              </w:rPr>
              <w:t>T</w:t>
            </w:r>
            <w:r w:rsidR="004E7BA5" w:rsidRPr="00C427B5">
              <w:rPr>
                <w:rFonts w:ascii="Arial" w:hAnsi="Arial" w:cs="Arial"/>
                <w:b/>
                <w:sz w:val="20"/>
                <w:szCs w:val="20"/>
              </w:rPr>
              <w:t xml:space="preserve">écnico </w:t>
            </w:r>
            <w:r w:rsidRPr="00C427B5">
              <w:rPr>
                <w:rFonts w:ascii="Arial" w:hAnsi="Arial" w:cs="Arial"/>
                <w:b/>
                <w:sz w:val="20"/>
                <w:szCs w:val="20"/>
              </w:rPr>
              <w:t>C</w:t>
            </w:r>
            <w:r w:rsidR="004E7BA5" w:rsidRPr="00C427B5">
              <w:rPr>
                <w:rFonts w:ascii="Arial" w:hAnsi="Arial" w:cs="Arial"/>
                <w:b/>
                <w:sz w:val="20"/>
                <w:szCs w:val="20"/>
              </w:rPr>
              <w:t>onstituido</w:t>
            </w:r>
            <w:r w:rsidR="00A05573" w:rsidRPr="00C427B5">
              <w:rPr>
                <w:rFonts w:ascii="Arial" w:hAnsi="Arial" w:cs="Arial"/>
                <w:b/>
                <w:sz w:val="20"/>
                <w:szCs w:val="20"/>
              </w:rPr>
              <w:t>:</w:t>
            </w:r>
            <w:r w:rsidR="006E0782" w:rsidRPr="00C427B5">
              <w:rPr>
                <w:rFonts w:ascii="Arial" w:hAnsi="Arial" w:cs="Arial"/>
                <w:sz w:val="20"/>
                <w:szCs w:val="20"/>
              </w:rPr>
              <w:t xml:space="preserve">  </w:t>
            </w:r>
            <w:r w:rsidR="00A05573" w:rsidRPr="00C427B5">
              <w:rPr>
                <w:rFonts w:ascii="Arial" w:hAnsi="Arial" w:cs="Arial"/>
                <w:bCs/>
                <w:color w:val="000000"/>
                <w:sz w:val="20"/>
                <w:szCs w:val="20"/>
              </w:rPr>
              <w:t xml:space="preserve">La suma del capital suscrito y pagado; reservas; el total de las utilidades o excedentes del ejercicio corriente una vez cumplidas las obligaciones laborales y tributarias; El fondo </w:t>
            </w:r>
            <w:proofErr w:type="spellStart"/>
            <w:r w:rsidR="00A05573" w:rsidRPr="00C427B5">
              <w:rPr>
                <w:rFonts w:ascii="Arial" w:hAnsi="Arial" w:cs="Arial"/>
                <w:bCs/>
                <w:color w:val="000000"/>
                <w:sz w:val="20"/>
                <w:szCs w:val="20"/>
              </w:rPr>
              <w:t>irrepartible</w:t>
            </w:r>
            <w:proofErr w:type="spellEnd"/>
            <w:r w:rsidR="00A05573" w:rsidRPr="00C427B5">
              <w:rPr>
                <w:rFonts w:ascii="Arial" w:hAnsi="Arial" w:cs="Arial"/>
                <w:bCs/>
                <w:color w:val="000000"/>
                <w:sz w:val="20"/>
                <w:szCs w:val="20"/>
              </w:rPr>
              <w:t xml:space="preserve"> de reserva legal; las utilidades acumuladas de ejercicios anteriores; aportes a futuras capitalizaciones; y, obligaciones convertibles sin garantía específica, de acuerdo con las regulaciones que expida la Junta de Política Monetaria y Financiera entre otros activos, menos la deficiencia de provisiones, amortizaciones y depreciaciones requeridas; y, desmedros de otras partidas que la entidad financiera no haya reconocido como pérdidas.</w:t>
            </w:r>
            <w:r w:rsidR="00A05573" w:rsidRPr="00C427B5">
              <w:rPr>
                <w:rFonts w:ascii="Arial" w:hAnsi="Arial" w:cs="Arial"/>
                <w:sz w:val="20"/>
                <w:szCs w:val="20"/>
              </w:rPr>
              <w:t xml:space="preserve"> (</w:t>
            </w:r>
            <w:r w:rsidR="00FE1326" w:rsidRPr="00C427B5">
              <w:rPr>
                <w:rFonts w:ascii="Arial" w:hAnsi="Arial" w:cs="Arial"/>
                <w:bCs/>
                <w:color w:val="000000"/>
                <w:sz w:val="20"/>
                <w:szCs w:val="20"/>
              </w:rPr>
              <w:t>Códig</w:t>
            </w:r>
            <w:r w:rsidRPr="00C427B5">
              <w:rPr>
                <w:rFonts w:ascii="Arial" w:hAnsi="Arial" w:cs="Arial"/>
                <w:bCs/>
                <w:color w:val="000000"/>
                <w:sz w:val="20"/>
                <w:szCs w:val="20"/>
              </w:rPr>
              <w:t>o Orgánico Monetario y Financiero</w:t>
            </w:r>
            <w:r w:rsidR="006E0782" w:rsidRPr="00C427B5">
              <w:rPr>
                <w:rFonts w:ascii="Arial" w:hAnsi="Arial" w:cs="Arial"/>
                <w:bCs/>
                <w:color w:val="000000"/>
                <w:sz w:val="20"/>
                <w:szCs w:val="20"/>
                <w:lang w:val="es-ES"/>
              </w:rPr>
              <w:t xml:space="preserve"> del Ecuador</w:t>
            </w:r>
            <w:r w:rsidR="00A05573" w:rsidRPr="00C427B5">
              <w:rPr>
                <w:rFonts w:ascii="Arial" w:hAnsi="Arial" w:cs="Arial"/>
                <w:bCs/>
                <w:color w:val="000000"/>
                <w:sz w:val="20"/>
                <w:szCs w:val="20"/>
                <w:lang w:val="es-ES"/>
              </w:rPr>
              <w:t>, 2014)</w:t>
            </w:r>
          </w:p>
          <w:p w:rsidR="004E7BA5" w:rsidRPr="00C427B5" w:rsidRDefault="00E93E59" w:rsidP="00A05573">
            <w:pPr>
              <w:pStyle w:val="Prrafodelista"/>
              <w:ind w:left="360"/>
              <w:jc w:val="both"/>
              <w:rPr>
                <w:rFonts w:ascii="Arial" w:hAnsi="Arial" w:cs="Arial"/>
                <w:color w:val="000000"/>
                <w:sz w:val="20"/>
                <w:szCs w:val="20"/>
              </w:rPr>
            </w:pPr>
            <w:r w:rsidRPr="00C427B5">
              <w:rPr>
                <w:rFonts w:ascii="Arial" w:hAnsi="Arial" w:cs="Arial"/>
                <w:sz w:val="20"/>
                <w:szCs w:val="20"/>
                <w:lang w:val="es-ES_tradnl"/>
              </w:rPr>
              <w:t>La Junta de Política y Regulación Monetaria y Financiera, mediante normas, determinará la clasificación de las cuentas que componen el patrimonio técnico primario y secundario y establecerá las condiciones para la inclusión, exclusión y deducción de una o varias partidas patrimoniales.</w:t>
            </w:r>
            <w:r w:rsidR="00B02AA8" w:rsidRPr="00C427B5">
              <w:rPr>
                <w:rFonts w:ascii="Arial" w:hAnsi="Arial" w:cs="Arial"/>
                <w:sz w:val="20"/>
                <w:szCs w:val="20"/>
                <w:lang w:val="es-ES_tradnl"/>
              </w:rPr>
              <w:t xml:space="preserve"> </w:t>
            </w:r>
            <w:r w:rsidR="00304F9F" w:rsidRPr="00C427B5">
              <w:rPr>
                <w:rFonts w:ascii="Arial" w:hAnsi="Arial" w:cs="Arial"/>
                <w:sz w:val="20"/>
                <w:szCs w:val="20"/>
                <w:lang w:val="es-ES_tradnl"/>
              </w:rPr>
              <w:t xml:space="preserve">Los elementos del patrimonio técnico </w:t>
            </w:r>
            <w:r w:rsidR="00B71724" w:rsidRPr="00C427B5">
              <w:rPr>
                <w:rFonts w:ascii="Arial" w:hAnsi="Arial" w:cs="Arial"/>
                <w:sz w:val="20"/>
                <w:szCs w:val="20"/>
                <w:lang w:val="es-ES_tradnl"/>
              </w:rPr>
              <w:t xml:space="preserve">para poder ser incluidos total o parcialmente </w:t>
            </w:r>
            <w:r w:rsidR="00304F9F" w:rsidRPr="00C427B5">
              <w:rPr>
                <w:rFonts w:ascii="Arial" w:hAnsi="Arial" w:cs="Arial"/>
                <w:sz w:val="20"/>
                <w:szCs w:val="20"/>
                <w:lang w:val="es-ES_tradnl"/>
              </w:rPr>
              <w:t xml:space="preserve">deben cumplir las condiciones determinadas </w:t>
            </w:r>
            <w:r w:rsidR="00B71724" w:rsidRPr="00C427B5">
              <w:rPr>
                <w:rFonts w:ascii="Arial" w:hAnsi="Arial" w:cs="Arial"/>
                <w:sz w:val="20"/>
                <w:szCs w:val="20"/>
                <w:lang w:val="es-ES_tradnl"/>
              </w:rPr>
              <w:t>por la norma de solvencia en las notas al patrimonio técnico</w:t>
            </w:r>
            <w:r w:rsidR="00B02AA8" w:rsidRPr="00C427B5">
              <w:rPr>
                <w:rFonts w:ascii="Arial" w:hAnsi="Arial" w:cs="Arial"/>
                <w:sz w:val="20"/>
                <w:szCs w:val="20"/>
                <w:lang w:val="es-ES_tradnl"/>
              </w:rPr>
              <w:t xml:space="preserve">. </w:t>
            </w:r>
            <w:r w:rsidR="00B02AA8" w:rsidRPr="00C427B5">
              <w:rPr>
                <w:rFonts w:ascii="Arial" w:hAnsi="Arial" w:cs="Arial"/>
                <w:sz w:val="20"/>
                <w:szCs w:val="20"/>
                <w:lang w:val="es-ES"/>
              </w:rPr>
              <w:t>(</w:t>
            </w:r>
            <w:r w:rsidR="00B02AA8" w:rsidRPr="00C427B5">
              <w:rPr>
                <w:rFonts w:ascii="Arial" w:hAnsi="Arial" w:cs="Arial"/>
                <w:color w:val="000000"/>
                <w:sz w:val="20"/>
                <w:szCs w:val="20"/>
              </w:rPr>
              <w:t>Junta de Regulación Monetaria y Financiera, 2015)</w:t>
            </w:r>
          </w:p>
          <w:p w:rsidR="00C427B5" w:rsidRPr="00C427B5" w:rsidRDefault="00C427B5" w:rsidP="00A05573">
            <w:pPr>
              <w:pStyle w:val="Prrafodelista"/>
              <w:ind w:left="360"/>
              <w:jc w:val="both"/>
              <w:rPr>
                <w:rFonts w:ascii="Arial" w:hAnsi="Arial" w:cs="Arial"/>
                <w:sz w:val="20"/>
                <w:szCs w:val="20"/>
              </w:rPr>
            </w:pPr>
          </w:p>
          <w:p w:rsidR="0047207E" w:rsidRPr="00C427B5" w:rsidRDefault="00E93E59" w:rsidP="00A05573">
            <w:pPr>
              <w:pStyle w:val="Prrafodelista"/>
              <w:numPr>
                <w:ilvl w:val="0"/>
                <w:numId w:val="34"/>
              </w:numPr>
              <w:jc w:val="both"/>
              <w:rPr>
                <w:rFonts w:ascii="Arial" w:hAnsi="Arial" w:cs="Arial"/>
                <w:sz w:val="20"/>
                <w:szCs w:val="20"/>
                <w:lang w:val="es-ES"/>
              </w:rPr>
            </w:pPr>
            <w:r w:rsidRPr="00C427B5">
              <w:rPr>
                <w:rFonts w:ascii="Arial" w:hAnsi="Arial" w:cs="Arial"/>
                <w:b/>
                <w:sz w:val="20"/>
                <w:szCs w:val="20"/>
                <w:lang w:val="es-ES_tradnl"/>
              </w:rPr>
              <w:t xml:space="preserve">Activos y </w:t>
            </w:r>
            <w:r w:rsidR="0047207E" w:rsidRPr="00C427B5">
              <w:rPr>
                <w:rFonts w:ascii="Arial" w:hAnsi="Arial" w:cs="Arial"/>
                <w:b/>
                <w:sz w:val="20"/>
                <w:szCs w:val="20"/>
                <w:lang w:val="es-ES_tradnl"/>
              </w:rPr>
              <w:t>Contingentes</w:t>
            </w:r>
            <w:r w:rsidRPr="00C427B5">
              <w:rPr>
                <w:rFonts w:ascii="Arial" w:hAnsi="Arial" w:cs="Arial"/>
                <w:b/>
                <w:sz w:val="20"/>
                <w:szCs w:val="20"/>
                <w:lang w:val="es-ES_tradnl"/>
              </w:rPr>
              <w:t xml:space="preserve"> ponderados por riesgo</w:t>
            </w:r>
            <w:r w:rsidR="00A05573" w:rsidRPr="00C427B5">
              <w:rPr>
                <w:rFonts w:ascii="Arial" w:hAnsi="Arial" w:cs="Arial"/>
                <w:sz w:val="20"/>
                <w:szCs w:val="20"/>
                <w:lang w:val="es-ES_tradnl"/>
              </w:rPr>
              <w:t>:</w:t>
            </w:r>
            <w:r w:rsidRPr="00C427B5">
              <w:rPr>
                <w:rFonts w:ascii="Arial" w:hAnsi="Arial" w:cs="Arial"/>
                <w:sz w:val="20"/>
                <w:szCs w:val="20"/>
                <w:lang w:val="es-ES_tradnl"/>
              </w:rPr>
              <w:t xml:space="preserve"> Dado que cada uno de los activos y contingentes de un</w:t>
            </w:r>
            <w:r w:rsidR="00C10246" w:rsidRPr="00C427B5">
              <w:rPr>
                <w:rFonts w:ascii="Arial" w:hAnsi="Arial" w:cs="Arial"/>
                <w:sz w:val="20"/>
                <w:szCs w:val="20"/>
                <w:lang w:val="es-ES_tradnl"/>
              </w:rPr>
              <w:t xml:space="preserve"> estado financiero tienen distintos niveles de riesgo</w:t>
            </w:r>
            <w:r w:rsidR="00E326FC" w:rsidRPr="00C427B5">
              <w:rPr>
                <w:rFonts w:ascii="Arial" w:hAnsi="Arial" w:cs="Arial"/>
                <w:sz w:val="20"/>
                <w:szCs w:val="20"/>
                <w:lang w:val="es-ES_tradnl"/>
              </w:rPr>
              <w:t>,</w:t>
            </w:r>
            <w:r w:rsidR="00C10246" w:rsidRPr="00C427B5">
              <w:rPr>
                <w:rFonts w:ascii="Arial" w:hAnsi="Arial" w:cs="Arial"/>
                <w:sz w:val="20"/>
                <w:szCs w:val="20"/>
                <w:lang w:val="es-ES_tradnl"/>
              </w:rPr>
              <w:t xml:space="preserve"> de acuerdo con la</w:t>
            </w:r>
            <w:r w:rsidR="00B71724" w:rsidRPr="00C427B5">
              <w:rPr>
                <w:rFonts w:ascii="Arial" w:hAnsi="Arial" w:cs="Arial"/>
                <w:sz w:val="20"/>
                <w:szCs w:val="20"/>
                <w:lang w:val="es-ES_tradnl"/>
              </w:rPr>
              <w:t>s</w:t>
            </w:r>
            <w:r w:rsidR="00C10246" w:rsidRPr="00C427B5">
              <w:rPr>
                <w:rFonts w:ascii="Arial" w:hAnsi="Arial" w:cs="Arial"/>
                <w:sz w:val="20"/>
                <w:szCs w:val="20"/>
                <w:lang w:val="es-ES_tradnl"/>
              </w:rPr>
              <w:t xml:space="preserve"> característica</w:t>
            </w:r>
            <w:r w:rsidR="00B71724" w:rsidRPr="00C427B5">
              <w:rPr>
                <w:rFonts w:ascii="Arial" w:hAnsi="Arial" w:cs="Arial"/>
                <w:sz w:val="20"/>
                <w:szCs w:val="20"/>
                <w:lang w:val="es-ES_tradnl"/>
              </w:rPr>
              <w:t>s</w:t>
            </w:r>
            <w:r w:rsidR="00C10246" w:rsidRPr="00C427B5">
              <w:rPr>
                <w:rFonts w:ascii="Arial" w:hAnsi="Arial" w:cs="Arial"/>
                <w:sz w:val="20"/>
                <w:szCs w:val="20"/>
                <w:lang w:val="es-ES_tradnl"/>
              </w:rPr>
              <w:t xml:space="preserve"> de</w:t>
            </w:r>
            <w:r w:rsidR="00250DCD" w:rsidRPr="00C427B5">
              <w:rPr>
                <w:rFonts w:ascii="Arial" w:hAnsi="Arial" w:cs="Arial"/>
                <w:sz w:val="20"/>
                <w:szCs w:val="20"/>
                <w:lang w:val="es-ES_tradnl"/>
              </w:rPr>
              <w:t xml:space="preserve">l activo, éstos </w:t>
            </w:r>
            <w:r w:rsidR="00C10246" w:rsidRPr="00C427B5">
              <w:rPr>
                <w:rFonts w:ascii="Arial" w:hAnsi="Arial" w:cs="Arial"/>
                <w:sz w:val="20"/>
                <w:szCs w:val="20"/>
                <w:lang w:val="es-ES_tradnl"/>
              </w:rPr>
              <w:t xml:space="preserve">se </w:t>
            </w:r>
            <w:r w:rsidR="00250DCD" w:rsidRPr="00C427B5">
              <w:rPr>
                <w:rFonts w:ascii="Arial" w:hAnsi="Arial" w:cs="Arial"/>
                <w:sz w:val="20"/>
                <w:szCs w:val="20"/>
                <w:lang w:val="es-ES_tradnl"/>
              </w:rPr>
              <w:t>deben ponderar</w:t>
            </w:r>
            <w:r w:rsidR="00B71724" w:rsidRPr="00C427B5">
              <w:rPr>
                <w:rFonts w:ascii="Arial" w:hAnsi="Arial" w:cs="Arial"/>
                <w:sz w:val="20"/>
                <w:szCs w:val="20"/>
                <w:lang w:val="es-ES_tradnl"/>
              </w:rPr>
              <w:t xml:space="preserve"> por distintos factores </w:t>
            </w:r>
            <w:r w:rsidR="00250DCD" w:rsidRPr="00C427B5">
              <w:rPr>
                <w:rFonts w:ascii="Arial" w:hAnsi="Arial" w:cs="Arial"/>
                <w:sz w:val="20"/>
                <w:szCs w:val="20"/>
                <w:lang w:val="es-ES_tradnl"/>
              </w:rPr>
              <w:t xml:space="preserve">especificados en la norma de solvencia en las sección factores de ponderación de activos y contingentes y </w:t>
            </w:r>
            <w:r w:rsidR="00122018" w:rsidRPr="00C427B5">
              <w:rPr>
                <w:rFonts w:ascii="Arial" w:hAnsi="Arial" w:cs="Arial"/>
                <w:sz w:val="20"/>
                <w:szCs w:val="20"/>
                <w:lang w:val="es-ES_tradnl"/>
              </w:rPr>
              <w:t>notas al patrimonio técnico</w:t>
            </w:r>
            <w:r w:rsidR="0047207E" w:rsidRPr="00C427B5">
              <w:rPr>
                <w:rStyle w:val="Refdecomentario"/>
                <w:rFonts w:ascii="Arial" w:eastAsia="Batang" w:hAnsi="Arial" w:cs="Arial"/>
                <w:sz w:val="20"/>
                <w:szCs w:val="20"/>
                <w:lang w:val="es-ES" w:eastAsia="ko-KR"/>
              </w:rPr>
              <w:t xml:space="preserve"> requerido</w:t>
            </w:r>
            <w:r w:rsidR="0047207E" w:rsidRPr="00C427B5">
              <w:rPr>
                <w:rFonts w:ascii="Arial" w:hAnsi="Arial" w:cs="Arial"/>
                <w:sz w:val="20"/>
                <w:szCs w:val="20"/>
                <w:lang w:val="es-ES"/>
              </w:rPr>
              <w:t xml:space="preserve"> (</w:t>
            </w:r>
            <w:r w:rsidR="00B02AA8" w:rsidRPr="00C427B5">
              <w:rPr>
                <w:rFonts w:ascii="Arial" w:hAnsi="Arial" w:cs="Arial"/>
                <w:color w:val="000000"/>
                <w:sz w:val="20"/>
                <w:szCs w:val="20"/>
              </w:rPr>
              <w:t xml:space="preserve">Junta de Regulación Monetaria y Financiera, </w:t>
            </w:r>
            <w:r w:rsidR="00E326FC" w:rsidRPr="00C427B5">
              <w:rPr>
                <w:rFonts w:ascii="Arial" w:hAnsi="Arial" w:cs="Arial"/>
                <w:color w:val="000000"/>
                <w:sz w:val="20"/>
                <w:szCs w:val="20"/>
              </w:rPr>
              <w:t>2015</w:t>
            </w:r>
            <w:r w:rsidR="00B02AA8" w:rsidRPr="00C427B5">
              <w:rPr>
                <w:rFonts w:ascii="Arial" w:hAnsi="Arial" w:cs="Arial"/>
                <w:color w:val="000000"/>
                <w:sz w:val="20"/>
                <w:szCs w:val="20"/>
              </w:rPr>
              <w:t>)</w:t>
            </w:r>
          </w:p>
        </w:tc>
      </w:tr>
      <w:tr w:rsidR="004E7BA5" w:rsidRPr="00C427B5" w:rsidTr="00C427B5">
        <w:trPr>
          <w:trHeight w:val="513"/>
          <w:tblCellSpacing w:w="20" w:type="dxa"/>
        </w:trPr>
        <w:tc>
          <w:tcPr>
            <w:tcW w:w="4964" w:type="pct"/>
            <w:gridSpan w:val="5"/>
            <w:shd w:val="clear" w:color="auto" w:fill="C6D9F1"/>
            <w:vAlign w:val="center"/>
            <w:hideMark/>
          </w:tcPr>
          <w:p w:rsidR="004E7BA5" w:rsidRPr="00C427B5" w:rsidRDefault="004E7BA5" w:rsidP="00004233">
            <w:pPr>
              <w:jc w:val="center"/>
              <w:rPr>
                <w:rFonts w:ascii="Arial" w:eastAsia="Times New Roman" w:hAnsi="Arial" w:cs="Arial"/>
                <w:b/>
                <w:bCs/>
                <w:sz w:val="20"/>
                <w:szCs w:val="20"/>
              </w:rPr>
            </w:pPr>
            <w:r w:rsidRPr="00C427B5">
              <w:rPr>
                <w:rFonts w:ascii="Arial" w:eastAsia="Times New Roman" w:hAnsi="Arial" w:cs="Arial"/>
                <w:b/>
                <w:bCs/>
                <w:sz w:val="20"/>
                <w:szCs w:val="20"/>
              </w:rPr>
              <w:lastRenderedPageBreak/>
              <w:t>METODOLOGÍA DE CÁLCULO</w:t>
            </w:r>
          </w:p>
        </w:tc>
      </w:tr>
      <w:tr w:rsidR="004E7BA5" w:rsidRPr="00C427B5" w:rsidTr="0018362F">
        <w:trPr>
          <w:trHeight w:val="5128"/>
          <w:tblCellSpacing w:w="20" w:type="dxa"/>
        </w:trPr>
        <w:tc>
          <w:tcPr>
            <w:tcW w:w="4964" w:type="pct"/>
            <w:gridSpan w:val="5"/>
            <w:tcBorders>
              <w:top w:val="outset" w:sz="6" w:space="0" w:color="auto"/>
              <w:bottom w:val="outset" w:sz="6" w:space="0" w:color="auto"/>
            </w:tcBorders>
            <w:shd w:val="clear" w:color="auto" w:fill="FFFFFF"/>
            <w:vAlign w:val="center"/>
            <w:hideMark/>
          </w:tcPr>
          <w:p w:rsidR="00026754" w:rsidRDefault="00026754" w:rsidP="00C427B5">
            <w:pPr>
              <w:autoSpaceDE w:val="0"/>
              <w:autoSpaceDN w:val="0"/>
              <w:adjustRightInd w:val="0"/>
              <w:spacing w:after="0"/>
              <w:jc w:val="both"/>
              <w:rPr>
                <w:rFonts w:ascii="Arial" w:hAnsi="Arial" w:cs="Arial"/>
                <w:sz w:val="20"/>
                <w:szCs w:val="20"/>
              </w:rPr>
            </w:pPr>
            <w:r w:rsidRPr="00C427B5">
              <w:rPr>
                <w:rFonts w:ascii="Arial" w:hAnsi="Arial" w:cs="Arial"/>
                <w:sz w:val="20"/>
                <w:szCs w:val="20"/>
              </w:rPr>
              <w:t xml:space="preserve">El coeficiente resulta de fórmulas </w:t>
            </w:r>
            <w:r w:rsidR="0047207E" w:rsidRPr="00C427B5">
              <w:rPr>
                <w:rFonts w:ascii="Arial" w:hAnsi="Arial" w:cs="Arial"/>
                <w:sz w:val="20"/>
                <w:szCs w:val="20"/>
              </w:rPr>
              <w:t>analíticas</w:t>
            </w:r>
            <w:r w:rsidRPr="00C427B5">
              <w:rPr>
                <w:rFonts w:ascii="Arial" w:hAnsi="Arial" w:cs="Arial"/>
                <w:sz w:val="20"/>
                <w:szCs w:val="20"/>
              </w:rPr>
              <w:t xml:space="preserve"> complejas del numerador (capital regulatorio) y del</w:t>
            </w:r>
            <w:r w:rsidR="00E326FC" w:rsidRPr="00C427B5">
              <w:rPr>
                <w:rFonts w:ascii="Arial" w:hAnsi="Arial" w:cs="Arial"/>
                <w:sz w:val="20"/>
                <w:szCs w:val="20"/>
              </w:rPr>
              <w:t xml:space="preserve"> </w:t>
            </w:r>
            <w:r w:rsidRPr="00C427B5">
              <w:rPr>
                <w:rFonts w:ascii="Arial" w:hAnsi="Arial" w:cs="Arial"/>
                <w:sz w:val="20"/>
                <w:szCs w:val="20"/>
              </w:rPr>
              <w:t>denominador (los activos ponderados en función del riesgo) que no puede obtenerse sólo de los saldos de balance.</w:t>
            </w:r>
          </w:p>
          <w:p w:rsidR="00325DFD" w:rsidRPr="00C427B5" w:rsidRDefault="00325DFD" w:rsidP="00C427B5">
            <w:pPr>
              <w:autoSpaceDE w:val="0"/>
              <w:autoSpaceDN w:val="0"/>
              <w:adjustRightInd w:val="0"/>
              <w:spacing w:after="0"/>
              <w:jc w:val="both"/>
              <w:rPr>
                <w:rFonts w:ascii="Arial" w:hAnsi="Arial" w:cs="Arial"/>
                <w:sz w:val="20"/>
                <w:szCs w:val="20"/>
              </w:rPr>
            </w:pPr>
          </w:p>
          <w:p w:rsidR="004A6C98" w:rsidRPr="00C427B5" w:rsidRDefault="00122018" w:rsidP="00C427B5">
            <w:pPr>
              <w:autoSpaceDE w:val="0"/>
              <w:autoSpaceDN w:val="0"/>
              <w:adjustRightInd w:val="0"/>
              <w:spacing w:after="0"/>
              <w:jc w:val="both"/>
              <w:rPr>
                <w:rFonts w:ascii="Arial" w:hAnsi="Arial" w:cs="Arial"/>
                <w:sz w:val="20"/>
                <w:szCs w:val="20"/>
              </w:rPr>
            </w:pPr>
            <w:r w:rsidRPr="00C427B5">
              <w:rPr>
                <w:rFonts w:ascii="Arial" w:hAnsi="Arial" w:cs="Arial"/>
                <w:sz w:val="20"/>
                <w:szCs w:val="20"/>
              </w:rPr>
              <w:t>Atendiendo</w:t>
            </w:r>
            <w:r w:rsidR="0059618A" w:rsidRPr="00C427B5">
              <w:rPr>
                <w:rFonts w:ascii="Arial" w:hAnsi="Arial" w:cs="Arial"/>
                <w:sz w:val="20"/>
                <w:szCs w:val="20"/>
              </w:rPr>
              <w:t xml:space="preserve"> a la norma </w:t>
            </w:r>
            <w:r w:rsidRPr="00C427B5">
              <w:rPr>
                <w:rFonts w:ascii="Arial" w:hAnsi="Arial" w:cs="Arial"/>
                <w:sz w:val="20"/>
                <w:szCs w:val="20"/>
              </w:rPr>
              <w:t>de solvencia</w:t>
            </w:r>
            <w:r w:rsidR="0059618A" w:rsidRPr="00C427B5">
              <w:rPr>
                <w:rFonts w:ascii="Arial" w:hAnsi="Arial" w:cs="Arial"/>
                <w:sz w:val="20"/>
                <w:szCs w:val="20"/>
              </w:rPr>
              <w:t xml:space="preserve"> ecuatoriana vigente a</w:t>
            </w:r>
            <w:r w:rsidRPr="00C427B5">
              <w:rPr>
                <w:rFonts w:ascii="Arial" w:hAnsi="Arial" w:cs="Arial"/>
                <w:sz w:val="20"/>
                <w:szCs w:val="20"/>
              </w:rPr>
              <w:t xml:space="preserve"> la fecha que corresponde la información </w:t>
            </w:r>
            <w:r w:rsidR="0059618A" w:rsidRPr="00C427B5">
              <w:rPr>
                <w:rFonts w:ascii="Arial" w:hAnsi="Arial" w:cs="Arial"/>
                <w:sz w:val="20"/>
                <w:szCs w:val="20"/>
              </w:rPr>
              <w:t xml:space="preserve"> se </w:t>
            </w:r>
            <w:r w:rsidRPr="00C427B5">
              <w:rPr>
                <w:rFonts w:ascii="Arial" w:hAnsi="Arial" w:cs="Arial"/>
                <w:sz w:val="20"/>
                <w:szCs w:val="20"/>
              </w:rPr>
              <w:t>calculó el</w:t>
            </w:r>
            <w:r w:rsidR="0059618A" w:rsidRPr="00C427B5">
              <w:rPr>
                <w:rFonts w:ascii="Arial" w:hAnsi="Arial" w:cs="Arial"/>
                <w:sz w:val="20"/>
                <w:szCs w:val="20"/>
              </w:rPr>
              <w:t xml:space="preserve"> patrimonio técnico constituido </w:t>
            </w:r>
            <w:r w:rsidRPr="00C427B5">
              <w:rPr>
                <w:rFonts w:ascii="Arial" w:hAnsi="Arial" w:cs="Arial"/>
                <w:sz w:val="20"/>
                <w:szCs w:val="20"/>
              </w:rPr>
              <w:t xml:space="preserve">y el total activos </w:t>
            </w:r>
            <w:r w:rsidR="0059618A" w:rsidRPr="00C427B5">
              <w:rPr>
                <w:rFonts w:ascii="Arial" w:hAnsi="Arial" w:cs="Arial"/>
                <w:sz w:val="20"/>
                <w:szCs w:val="20"/>
              </w:rPr>
              <w:t>y con</w:t>
            </w:r>
            <w:r w:rsidRPr="00C427B5">
              <w:rPr>
                <w:rFonts w:ascii="Arial" w:hAnsi="Arial" w:cs="Arial"/>
                <w:sz w:val="20"/>
                <w:szCs w:val="20"/>
              </w:rPr>
              <w:t>tingentes ponderados por riesgo de cada entida</w:t>
            </w:r>
            <w:r w:rsidR="004A6C98" w:rsidRPr="00C427B5">
              <w:rPr>
                <w:rFonts w:ascii="Arial" w:hAnsi="Arial" w:cs="Arial"/>
                <w:sz w:val="20"/>
                <w:szCs w:val="20"/>
              </w:rPr>
              <w:t>d que conforman las entidades declarantes.</w:t>
            </w:r>
          </w:p>
          <w:p w:rsidR="004A6C98" w:rsidRPr="00C427B5" w:rsidRDefault="004A6C98" w:rsidP="00C427B5">
            <w:pPr>
              <w:autoSpaceDE w:val="0"/>
              <w:autoSpaceDN w:val="0"/>
              <w:adjustRightInd w:val="0"/>
              <w:spacing w:after="0"/>
              <w:jc w:val="both"/>
              <w:rPr>
                <w:rFonts w:ascii="Arial" w:hAnsi="Arial" w:cs="Arial"/>
                <w:sz w:val="20"/>
                <w:szCs w:val="20"/>
              </w:rPr>
            </w:pPr>
            <w:r w:rsidRPr="00C427B5">
              <w:rPr>
                <w:rFonts w:ascii="Arial" w:hAnsi="Arial" w:cs="Arial"/>
                <w:sz w:val="20"/>
                <w:szCs w:val="20"/>
              </w:rPr>
              <w:t xml:space="preserve">a) agregando datos de patrimonio técnico </w:t>
            </w:r>
            <w:r w:rsidR="0047207E" w:rsidRPr="00C427B5">
              <w:rPr>
                <w:rFonts w:ascii="Arial" w:hAnsi="Arial" w:cs="Arial"/>
                <w:sz w:val="20"/>
                <w:szCs w:val="20"/>
              </w:rPr>
              <w:t>constituido</w:t>
            </w:r>
            <w:r w:rsidRPr="00C427B5">
              <w:rPr>
                <w:rFonts w:ascii="Arial" w:hAnsi="Arial" w:cs="Arial"/>
                <w:sz w:val="20"/>
                <w:szCs w:val="20"/>
              </w:rPr>
              <w:t xml:space="preserve"> de las instituciones financieras,</w:t>
            </w:r>
          </w:p>
          <w:p w:rsidR="004A6C98" w:rsidRPr="00C427B5" w:rsidRDefault="004A6C98" w:rsidP="00C427B5">
            <w:pPr>
              <w:autoSpaceDE w:val="0"/>
              <w:autoSpaceDN w:val="0"/>
              <w:adjustRightInd w:val="0"/>
              <w:spacing w:after="0"/>
              <w:jc w:val="both"/>
              <w:rPr>
                <w:rFonts w:ascii="Arial" w:hAnsi="Arial" w:cs="Arial"/>
                <w:sz w:val="20"/>
                <w:szCs w:val="20"/>
              </w:rPr>
            </w:pPr>
            <w:r w:rsidRPr="00C427B5">
              <w:rPr>
                <w:rFonts w:ascii="Arial" w:hAnsi="Arial" w:cs="Arial"/>
                <w:sz w:val="20"/>
                <w:szCs w:val="20"/>
              </w:rPr>
              <w:t>b) agregando los valores de activos ponderados en función del riesgo, y</w:t>
            </w:r>
          </w:p>
          <w:p w:rsidR="0059618A" w:rsidRPr="00C427B5" w:rsidRDefault="004A6C98" w:rsidP="00C427B5">
            <w:pPr>
              <w:autoSpaceDE w:val="0"/>
              <w:autoSpaceDN w:val="0"/>
              <w:adjustRightInd w:val="0"/>
              <w:spacing w:after="0"/>
              <w:jc w:val="both"/>
              <w:rPr>
                <w:rFonts w:ascii="Arial" w:eastAsia="Times New Roman" w:hAnsi="Arial" w:cs="Arial"/>
                <w:sz w:val="20"/>
                <w:szCs w:val="20"/>
              </w:rPr>
            </w:pPr>
            <w:r w:rsidRPr="00C427B5">
              <w:rPr>
                <w:rFonts w:ascii="Arial" w:hAnsi="Arial" w:cs="Arial"/>
                <w:sz w:val="20"/>
                <w:szCs w:val="20"/>
              </w:rPr>
              <w:t>c) se obtiene</w:t>
            </w:r>
            <w:r w:rsidR="002F5459" w:rsidRPr="00C427B5">
              <w:rPr>
                <w:rFonts w:ascii="Arial" w:hAnsi="Arial" w:cs="Arial"/>
                <w:sz w:val="20"/>
                <w:szCs w:val="20"/>
              </w:rPr>
              <w:t xml:space="preserve"> la relación dividiendo a) para</w:t>
            </w:r>
            <w:r w:rsidRPr="00C427B5">
              <w:rPr>
                <w:rFonts w:ascii="Arial" w:hAnsi="Arial" w:cs="Arial"/>
                <w:sz w:val="20"/>
                <w:szCs w:val="20"/>
              </w:rPr>
              <w:t xml:space="preserve"> b)</w:t>
            </w:r>
            <w:r w:rsidR="00122018" w:rsidRPr="00C427B5">
              <w:rPr>
                <w:rFonts w:ascii="Arial" w:hAnsi="Arial" w:cs="Arial"/>
                <w:sz w:val="20"/>
                <w:szCs w:val="20"/>
              </w:rPr>
              <w:t xml:space="preserve"> </w:t>
            </w:r>
          </w:p>
          <w:p w:rsidR="0059618A" w:rsidRPr="00C427B5" w:rsidRDefault="0059618A" w:rsidP="00C427B5">
            <w:pPr>
              <w:autoSpaceDE w:val="0"/>
              <w:autoSpaceDN w:val="0"/>
              <w:adjustRightInd w:val="0"/>
              <w:spacing w:after="0"/>
              <w:jc w:val="both"/>
              <w:rPr>
                <w:rFonts w:ascii="Arial" w:hAnsi="Arial" w:cs="Arial"/>
                <w:color w:val="000000"/>
                <w:sz w:val="20"/>
                <w:szCs w:val="20"/>
              </w:rPr>
            </w:pPr>
          </w:p>
          <w:p w:rsidR="0059618A" w:rsidRPr="00C427B5" w:rsidRDefault="0059618A" w:rsidP="00C427B5">
            <w:pPr>
              <w:autoSpaceDE w:val="0"/>
              <w:autoSpaceDN w:val="0"/>
              <w:adjustRightInd w:val="0"/>
              <w:spacing w:after="0"/>
              <w:jc w:val="both"/>
              <w:rPr>
                <w:rFonts w:ascii="Arial" w:hAnsi="Arial" w:cs="Arial"/>
                <w:sz w:val="20"/>
                <w:szCs w:val="20"/>
              </w:rPr>
            </w:pPr>
            <w:r w:rsidRPr="00C427B5">
              <w:rPr>
                <w:rFonts w:ascii="Arial" w:hAnsi="Arial" w:cs="Arial"/>
                <w:sz w:val="20"/>
                <w:szCs w:val="20"/>
              </w:rPr>
              <w:t>Artículos 190 y 191 del Código Orgánico Monetario y Financiero</w:t>
            </w:r>
            <w:r w:rsidR="00122018" w:rsidRPr="00C427B5">
              <w:rPr>
                <w:rFonts w:ascii="Arial" w:hAnsi="Arial" w:cs="Arial"/>
                <w:sz w:val="20"/>
                <w:szCs w:val="20"/>
              </w:rPr>
              <w:t>.</w:t>
            </w:r>
            <w:r w:rsidRPr="00C427B5">
              <w:rPr>
                <w:rFonts w:ascii="Arial" w:hAnsi="Arial" w:cs="Arial"/>
                <w:sz w:val="20"/>
                <w:szCs w:val="20"/>
              </w:rPr>
              <w:t xml:space="preserve"> </w:t>
            </w:r>
          </w:p>
          <w:p w:rsidR="0018362F" w:rsidRPr="00C427B5" w:rsidRDefault="0047207E" w:rsidP="00C427B5">
            <w:pPr>
              <w:autoSpaceDE w:val="0"/>
              <w:autoSpaceDN w:val="0"/>
              <w:adjustRightInd w:val="0"/>
              <w:spacing w:after="0"/>
              <w:jc w:val="both"/>
              <w:rPr>
                <w:rFonts w:ascii="Arial" w:hAnsi="Arial" w:cs="Arial"/>
                <w:sz w:val="20"/>
                <w:szCs w:val="20"/>
              </w:rPr>
            </w:pPr>
            <w:r w:rsidRPr="00C427B5">
              <w:rPr>
                <w:rFonts w:ascii="Arial" w:hAnsi="Arial" w:cs="Arial"/>
                <w:sz w:val="20"/>
                <w:szCs w:val="20"/>
              </w:rPr>
              <w:t xml:space="preserve">Norma de solvencia contenida en la Codificación de Resoluciones de la Superintendencia de Bancos y de la Junta Bancaria, LIBRO I.- Normas Generales Para Las Instituciones del Sistema Financiero Titulo V.- Del Patrimonio Técnico Capitulo I.- Relación Entre El Patrimonio Técnico Total y Los Activos y Contingentes Ponderados Por Riesgo Para Las Instituciones Del Sistema Financiero Público y Privado. </w:t>
            </w:r>
            <w:r w:rsidR="0059618A" w:rsidRPr="00C427B5">
              <w:rPr>
                <w:rFonts w:ascii="Arial" w:hAnsi="Arial" w:cs="Arial"/>
                <w:sz w:val="20"/>
                <w:szCs w:val="20"/>
              </w:rPr>
              <w:t>A partir de septiembre de 2014 sustituido con resolución 047-2015-F de 5 de marzo de 2015)</w:t>
            </w:r>
            <w:r w:rsidR="00FE1326" w:rsidRPr="00C427B5">
              <w:rPr>
                <w:rFonts w:ascii="Arial" w:hAnsi="Arial" w:cs="Arial"/>
                <w:sz w:val="20"/>
                <w:szCs w:val="20"/>
              </w:rPr>
              <w:t>. Resoluciones 4</w:t>
            </w:r>
            <w:r w:rsidR="0059618A" w:rsidRPr="00C427B5">
              <w:rPr>
                <w:rFonts w:ascii="Arial" w:hAnsi="Arial" w:cs="Arial"/>
                <w:sz w:val="20"/>
                <w:szCs w:val="20"/>
              </w:rPr>
              <w:t>8</w:t>
            </w:r>
            <w:r w:rsidR="00FE1326" w:rsidRPr="00C427B5">
              <w:rPr>
                <w:rFonts w:ascii="Arial" w:hAnsi="Arial" w:cs="Arial"/>
                <w:sz w:val="20"/>
                <w:szCs w:val="20"/>
              </w:rPr>
              <w:t>7-2015-</w:t>
            </w:r>
            <w:r w:rsidR="0059618A" w:rsidRPr="00C427B5">
              <w:rPr>
                <w:rFonts w:ascii="Arial" w:hAnsi="Arial" w:cs="Arial"/>
                <w:sz w:val="20"/>
                <w:szCs w:val="20"/>
              </w:rPr>
              <w:t>F</w:t>
            </w:r>
            <w:r w:rsidR="00FE1326" w:rsidRPr="00C427B5">
              <w:rPr>
                <w:rFonts w:ascii="Arial" w:hAnsi="Arial" w:cs="Arial"/>
                <w:sz w:val="20"/>
                <w:szCs w:val="20"/>
              </w:rPr>
              <w:t>, de abril de 2015 fe de erratas Resoluciones 0047-2015-F, 062-2015-F, 175-2015-F</w:t>
            </w:r>
          </w:p>
        </w:tc>
      </w:tr>
      <w:tr w:rsidR="004E7BA5" w:rsidRPr="00C427B5" w:rsidTr="00C427B5">
        <w:trPr>
          <w:trHeight w:val="677"/>
          <w:tblCellSpacing w:w="20" w:type="dxa"/>
        </w:trPr>
        <w:tc>
          <w:tcPr>
            <w:tcW w:w="4964" w:type="pct"/>
            <w:gridSpan w:val="5"/>
            <w:shd w:val="clear" w:color="auto" w:fill="C6D9F1"/>
            <w:vAlign w:val="center"/>
          </w:tcPr>
          <w:p w:rsidR="004E7BA5" w:rsidRPr="00C427B5" w:rsidRDefault="004E7BA5" w:rsidP="003A2829">
            <w:pPr>
              <w:jc w:val="center"/>
              <w:rPr>
                <w:rFonts w:ascii="Arial" w:eastAsia="Times New Roman" w:hAnsi="Arial" w:cs="Arial"/>
                <w:sz w:val="20"/>
                <w:szCs w:val="20"/>
              </w:rPr>
            </w:pPr>
            <w:r w:rsidRPr="00C427B5">
              <w:rPr>
                <w:rFonts w:ascii="Arial" w:eastAsia="Times New Roman" w:hAnsi="Arial" w:cs="Arial"/>
                <w:b/>
                <w:bCs/>
                <w:sz w:val="20"/>
                <w:szCs w:val="20"/>
              </w:rPr>
              <w:t>LIMITACIONES TÉCNICAS</w:t>
            </w:r>
          </w:p>
        </w:tc>
      </w:tr>
      <w:tr w:rsidR="004E7BA5" w:rsidRPr="00C427B5" w:rsidTr="0018362F">
        <w:trPr>
          <w:trHeight w:val="3157"/>
          <w:tblCellSpacing w:w="20" w:type="dxa"/>
        </w:trPr>
        <w:tc>
          <w:tcPr>
            <w:tcW w:w="4964" w:type="pct"/>
            <w:gridSpan w:val="5"/>
            <w:shd w:val="clear" w:color="auto" w:fill="auto"/>
            <w:vAlign w:val="center"/>
            <w:hideMark/>
          </w:tcPr>
          <w:p w:rsidR="004E7BA5" w:rsidRPr="0018362F" w:rsidRDefault="0047207E" w:rsidP="003152F2">
            <w:pPr>
              <w:jc w:val="both"/>
              <w:rPr>
                <w:rFonts w:ascii="Arial" w:hAnsi="Arial" w:cs="Arial"/>
                <w:color w:val="000000" w:themeColor="text1"/>
                <w:sz w:val="19"/>
                <w:szCs w:val="19"/>
                <w:lang w:val="es-ES_tradnl"/>
              </w:rPr>
            </w:pPr>
            <w:r w:rsidRPr="0018362F">
              <w:rPr>
                <w:rFonts w:ascii="Arial" w:hAnsi="Arial" w:cs="Arial"/>
                <w:color w:val="000000" w:themeColor="text1"/>
                <w:sz w:val="19"/>
                <w:szCs w:val="19"/>
                <w:lang w:val="es-ES_tradnl"/>
              </w:rPr>
              <w:t xml:space="preserve">El cómputo del indicador no ha permanecido estático a lo  largo del tiempo, éste se ha ido adecuado a los cambios en las norma de solvencia vigente a la fecha que corresponde la información, debido a lo cual no es posible aplicar una única metodología para las distintas fechas.  </w:t>
            </w:r>
            <w:r w:rsidR="003152F2" w:rsidRPr="0018362F">
              <w:rPr>
                <w:rFonts w:ascii="Arial" w:hAnsi="Arial" w:cs="Arial"/>
                <w:color w:val="000000" w:themeColor="text1"/>
                <w:sz w:val="19"/>
                <w:szCs w:val="19"/>
                <w:lang w:val="es-ES_tradnl"/>
              </w:rPr>
              <w:t>La metodología además de la ubicación contable de los saldos debe considerar características de los componentes patrimoniales y de los activos y contingentes  cualitativos relacionados con el cumplimiento específico de la norma de solvencia ecuatoriana por lo que no se pueden expresar en solo en una ecuación matemática.</w:t>
            </w:r>
          </w:p>
          <w:p w:rsidR="002F5459" w:rsidRPr="0018362F" w:rsidRDefault="002F5459" w:rsidP="002F5459">
            <w:pPr>
              <w:jc w:val="both"/>
              <w:rPr>
                <w:rFonts w:ascii="Arial" w:hAnsi="Arial" w:cs="Arial"/>
                <w:sz w:val="19"/>
                <w:szCs w:val="19"/>
                <w:lang w:val="es-ES_tradnl"/>
              </w:rPr>
            </w:pPr>
            <w:r w:rsidRPr="0018362F">
              <w:rPr>
                <w:rFonts w:ascii="Arial" w:hAnsi="Arial" w:cs="Arial"/>
                <w:sz w:val="19"/>
                <w:szCs w:val="19"/>
                <w:lang w:val="es-ES_tradnl"/>
              </w:rPr>
              <w:t xml:space="preserve">Este ratio conjuntamente con otros Indicadores de las Estadísticas de Solidez sirve únicamente para evaluar la salud del sistema financiero no se recomienda como medida de seguimiento de la meta 10.5 de los indicadores ODS: </w:t>
            </w:r>
            <w:r w:rsidRPr="0018362F">
              <w:rPr>
                <w:rFonts w:ascii="Arial" w:hAnsi="Arial" w:cs="Arial"/>
                <w:sz w:val="19"/>
                <w:szCs w:val="19"/>
              </w:rPr>
              <w:t>“</w:t>
            </w:r>
            <w:r w:rsidRPr="0018362F">
              <w:rPr>
                <w:rFonts w:ascii="Arial" w:hAnsi="Arial" w:cs="Arial"/>
                <w:i/>
                <w:sz w:val="19"/>
                <w:szCs w:val="19"/>
                <w:lang w:val="es-ES_tradnl"/>
              </w:rPr>
              <w:t>10.5 Mejorar la regulación y la supervisión de los mercados financieros globales y las instituciones y fortalecer la aplicación de dichas normas.”</w:t>
            </w:r>
          </w:p>
          <w:p w:rsidR="00CA2B2E" w:rsidRPr="0018362F" w:rsidRDefault="00CA2B2E" w:rsidP="00CA2B2E">
            <w:pPr>
              <w:jc w:val="both"/>
              <w:rPr>
                <w:rFonts w:ascii="Arial" w:hAnsi="Arial" w:cs="Arial"/>
                <w:color w:val="000000" w:themeColor="text1"/>
                <w:sz w:val="19"/>
                <w:szCs w:val="19"/>
                <w:lang w:val="es-ES_tradnl"/>
              </w:rPr>
            </w:pPr>
            <w:r w:rsidRPr="0018362F">
              <w:rPr>
                <w:rFonts w:ascii="Arial" w:hAnsi="Arial" w:cs="Arial"/>
                <w:color w:val="000000" w:themeColor="text1"/>
                <w:sz w:val="19"/>
                <w:szCs w:val="19"/>
                <w:lang w:val="es-ES_tradnl"/>
              </w:rPr>
              <w:t xml:space="preserve">Naciones Unidas dispone que se usen los Indicadores de Solidez para el seguimiento del objetivo 10.5 </w:t>
            </w:r>
            <w:r w:rsidR="002B0B98" w:rsidRPr="0018362F">
              <w:rPr>
                <w:rFonts w:ascii="Arial" w:hAnsi="Arial" w:cs="Arial"/>
                <w:color w:val="000000" w:themeColor="text1"/>
                <w:sz w:val="19"/>
                <w:szCs w:val="19"/>
                <w:lang w:val="es-ES_tradnl"/>
              </w:rPr>
              <w:t xml:space="preserve">de los Indicadores de Desarrollo Sostenible (Agenda 2030) </w:t>
            </w:r>
            <w:r w:rsidRPr="0018362F">
              <w:rPr>
                <w:rFonts w:ascii="Arial" w:hAnsi="Arial" w:cs="Arial"/>
                <w:color w:val="000000" w:themeColor="text1"/>
                <w:sz w:val="19"/>
                <w:szCs w:val="19"/>
                <w:lang w:val="es-ES_tradnl"/>
              </w:rPr>
              <w:t>per</w:t>
            </w:r>
            <w:r w:rsidR="002B0B98" w:rsidRPr="0018362F">
              <w:rPr>
                <w:rFonts w:ascii="Arial" w:hAnsi="Arial" w:cs="Arial"/>
                <w:color w:val="000000" w:themeColor="text1"/>
                <w:sz w:val="19"/>
                <w:szCs w:val="19"/>
                <w:lang w:val="es-ES_tradnl"/>
              </w:rPr>
              <w:t>o no ha especificado todavía cuá</w:t>
            </w:r>
            <w:r w:rsidRPr="0018362F">
              <w:rPr>
                <w:rFonts w:ascii="Arial" w:hAnsi="Arial" w:cs="Arial"/>
                <w:color w:val="000000" w:themeColor="text1"/>
                <w:sz w:val="19"/>
                <w:szCs w:val="19"/>
                <w:lang w:val="es-ES_tradnl"/>
              </w:rPr>
              <w:t xml:space="preserve">les indicadores </w:t>
            </w:r>
            <w:r w:rsidR="002B0B98" w:rsidRPr="0018362F">
              <w:rPr>
                <w:rFonts w:ascii="Arial" w:hAnsi="Arial" w:cs="Arial"/>
                <w:color w:val="000000" w:themeColor="text1"/>
                <w:sz w:val="19"/>
                <w:szCs w:val="19"/>
                <w:lang w:val="es-ES_tradnl"/>
              </w:rPr>
              <w:t>concretos</w:t>
            </w:r>
            <w:r w:rsidR="00AE1BC4" w:rsidRPr="0018362F">
              <w:rPr>
                <w:rFonts w:ascii="Arial" w:hAnsi="Arial" w:cs="Arial"/>
                <w:color w:val="000000" w:themeColor="text1"/>
                <w:sz w:val="19"/>
                <w:szCs w:val="19"/>
                <w:lang w:val="es-ES_tradnl"/>
              </w:rPr>
              <w:t xml:space="preserve"> deberán utilizarse de</w:t>
            </w:r>
            <w:r w:rsidRPr="0018362F">
              <w:rPr>
                <w:rFonts w:ascii="Arial" w:hAnsi="Arial" w:cs="Arial"/>
                <w:color w:val="000000" w:themeColor="text1"/>
                <w:sz w:val="19"/>
                <w:szCs w:val="19"/>
                <w:lang w:val="es-ES_tradnl"/>
              </w:rPr>
              <w:t xml:space="preserve"> las Estadísticas de Solidez para monitorear la meta 10.5, Según correo de </w:t>
            </w:r>
            <w:proofErr w:type="spellStart"/>
            <w:r w:rsidRPr="0018362F">
              <w:rPr>
                <w:rFonts w:ascii="Arial" w:hAnsi="Arial" w:cs="Arial"/>
                <w:color w:val="000000" w:themeColor="text1"/>
                <w:sz w:val="19"/>
                <w:szCs w:val="19"/>
                <w:lang w:val="es-ES_tradnl"/>
              </w:rPr>
              <w:t>Benhamin</w:t>
            </w:r>
            <w:proofErr w:type="spellEnd"/>
            <w:r w:rsidRPr="0018362F">
              <w:rPr>
                <w:rFonts w:ascii="Arial" w:hAnsi="Arial" w:cs="Arial"/>
                <w:color w:val="000000" w:themeColor="text1"/>
                <w:sz w:val="19"/>
                <w:szCs w:val="19"/>
                <w:lang w:val="es-ES_tradnl"/>
              </w:rPr>
              <w:t xml:space="preserve"> RAE de Naciones Unidas, la Comisión de Expertos de Indicadores ODS (integrada por varias agencias internacionales) está es</w:t>
            </w:r>
            <w:r w:rsidR="00AE1BC4" w:rsidRPr="0018362F">
              <w:rPr>
                <w:rFonts w:ascii="Arial" w:hAnsi="Arial" w:cs="Arial"/>
                <w:color w:val="000000" w:themeColor="text1"/>
                <w:sz w:val="19"/>
                <w:szCs w:val="19"/>
                <w:lang w:val="es-ES_tradnl"/>
              </w:rPr>
              <w:t>perando que el FMI determine qué</w:t>
            </w:r>
            <w:r w:rsidRPr="0018362F">
              <w:rPr>
                <w:rFonts w:ascii="Arial" w:hAnsi="Arial" w:cs="Arial"/>
                <w:color w:val="000000" w:themeColor="text1"/>
                <w:sz w:val="19"/>
                <w:szCs w:val="19"/>
                <w:lang w:val="es-ES_tradnl"/>
              </w:rPr>
              <w:t xml:space="preserve"> indicadores se deben usar para la meta 10.5.</w:t>
            </w:r>
          </w:p>
          <w:p w:rsidR="000752AE" w:rsidRPr="00C427B5" w:rsidRDefault="00CA2B2E" w:rsidP="00CA2B2E">
            <w:pPr>
              <w:jc w:val="both"/>
              <w:rPr>
                <w:rFonts w:ascii="Arial" w:eastAsia="Times New Roman" w:hAnsi="Arial" w:cs="Arial"/>
                <w:color w:val="000000" w:themeColor="text1"/>
                <w:sz w:val="20"/>
                <w:szCs w:val="20"/>
              </w:rPr>
            </w:pPr>
            <w:r w:rsidRPr="0018362F">
              <w:rPr>
                <w:rFonts w:ascii="Arial" w:hAnsi="Arial" w:cs="Arial"/>
                <w:color w:val="000000" w:themeColor="text1"/>
                <w:sz w:val="19"/>
                <w:szCs w:val="19"/>
                <w:lang w:val="es-ES_tradnl"/>
              </w:rPr>
              <w:t xml:space="preserve">Los datos agregados desde el 2012 sólo cubre el sector </w:t>
            </w:r>
            <w:r w:rsidR="0018362F" w:rsidRPr="0018362F">
              <w:rPr>
                <w:rFonts w:ascii="Arial" w:hAnsi="Arial" w:cs="Arial"/>
                <w:color w:val="000000" w:themeColor="text1"/>
                <w:sz w:val="19"/>
                <w:szCs w:val="19"/>
                <w:lang w:val="es-ES_tradnl"/>
              </w:rPr>
              <w:t>financiero controlado por la SB.</w:t>
            </w:r>
          </w:p>
        </w:tc>
      </w:tr>
      <w:tr w:rsidR="004E7BA5" w:rsidRPr="00C427B5" w:rsidTr="00C427B5">
        <w:trPr>
          <w:trHeight w:val="483"/>
          <w:tblCellSpacing w:w="20" w:type="dxa"/>
        </w:trPr>
        <w:tc>
          <w:tcPr>
            <w:tcW w:w="2385" w:type="pct"/>
            <w:gridSpan w:val="3"/>
            <w:shd w:val="clear" w:color="auto" w:fill="C6D9F1"/>
            <w:vAlign w:val="center"/>
          </w:tcPr>
          <w:p w:rsidR="004E7BA5" w:rsidRPr="00C427B5" w:rsidRDefault="004E7BA5" w:rsidP="00F74C87">
            <w:pPr>
              <w:rPr>
                <w:rFonts w:ascii="Arial" w:eastAsia="Times New Roman" w:hAnsi="Arial" w:cs="Arial"/>
                <w:b/>
                <w:bCs/>
                <w:sz w:val="20"/>
                <w:szCs w:val="20"/>
              </w:rPr>
            </w:pPr>
            <w:r w:rsidRPr="00C427B5">
              <w:rPr>
                <w:rFonts w:ascii="Arial" w:eastAsia="Times New Roman" w:hAnsi="Arial" w:cs="Arial"/>
                <w:b/>
                <w:bCs/>
                <w:sz w:val="20"/>
                <w:szCs w:val="20"/>
              </w:rPr>
              <w:t xml:space="preserve">UNIDAD DE MEDIDA O EXPRESIÓN DEL INDICADOR </w:t>
            </w:r>
          </w:p>
        </w:tc>
        <w:tc>
          <w:tcPr>
            <w:tcW w:w="2560" w:type="pct"/>
            <w:gridSpan w:val="2"/>
            <w:shd w:val="clear" w:color="auto" w:fill="auto"/>
            <w:vAlign w:val="center"/>
          </w:tcPr>
          <w:p w:rsidR="004E7BA5" w:rsidRPr="00C427B5" w:rsidRDefault="004E7BA5" w:rsidP="00C26D32">
            <w:pPr>
              <w:jc w:val="both"/>
              <w:rPr>
                <w:rFonts w:ascii="Arial" w:eastAsia="Times New Roman" w:hAnsi="Arial" w:cs="Arial"/>
                <w:sz w:val="20"/>
                <w:szCs w:val="20"/>
              </w:rPr>
            </w:pPr>
            <w:r w:rsidRPr="00C427B5">
              <w:rPr>
                <w:rFonts w:ascii="Arial" w:eastAsia="Times New Roman" w:hAnsi="Arial" w:cs="Arial"/>
                <w:sz w:val="20"/>
                <w:szCs w:val="20"/>
              </w:rPr>
              <w:t xml:space="preserve"> </w:t>
            </w:r>
            <w:r w:rsidR="00C10246" w:rsidRPr="00C427B5">
              <w:rPr>
                <w:rFonts w:ascii="Arial" w:eastAsia="Times New Roman" w:hAnsi="Arial" w:cs="Arial"/>
                <w:sz w:val="20"/>
                <w:szCs w:val="20"/>
              </w:rPr>
              <w:t>Porcentaje.</w:t>
            </w:r>
          </w:p>
        </w:tc>
      </w:tr>
      <w:tr w:rsidR="004E7BA5" w:rsidRPr="00C427B5" w:rsidTr="0018362F">
        <w:trPr>
          <w:trHeight w:val="1093"/>
          <w:tblCellSpacing w:w="20" w:type="dxa"/>
        </w:trPr>
        <w:tc>
          <w:tcPr>
            <w:tcW w:w="2385" w:type="pct"/>
            <w:gridSpan w:val="3"/>
            <w:shd w:val="clear" w:color="auto" w:fill="C6D9F1"/>
            <w:vAlign w:val="center"/>
            <w:hideMark/>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lastRenderedPageBreak/>
              <w:t xml:space="preserve">                                                                                                                                                                                                                                               INTERPRETACIÓN DEL INDICADOR</w:t>
            </w:r>
          </w:p>
        </w:tc>
        <w:tc>
          <w:tcPr>
            <w:tcW w:w="2560" w:type="pct"/>
            <w:gridSpan w:val="2"/>
            <w:shd w:val="clear" w:color="auto" w:fill="auto"/>
            <w:vAlign w:val="center"/>
            <w:hideMark/>
          </w:tcPr>
          <w:p w:rsidR="00DF2ED0" w:rsidRPr="00CF6862" w:rsidRDefault="00DF2ED0" w:rsidP="00DF2ED0">
            <w:pPr>
              <w:autoSpaceDE w:val="0"/>
              <w:autoSpaceDN w:val="0"/>
              <w:adjustRightInd w:val="0"/>
              <w:spacing w:after="0" w:line="240" w:lineRule="auto"/>
              <w:jc w:val="both"/>
              <w:rPr>
                <w:rFonts w:ascii="Times-Roman" w:hAnsi="Times-Roman" w:cs="Times-Roman"/>
                <w:sz w:val="24"/>
                <w:szCs w:val="24"/>
              </w:rPr>
            </w:pPr>
          </w:p>
          <w:p w:rsidR="007304C6" w:rsidRPr="0018362F" w:rsidRDefault="00DF2ED0" w:rsidP="00FE2764">
            <w:pPr>
              <w:autoSpaceDE w:val="0"/>
              <w:autoSpaceDN w:val="0"/>
              <w:adjustRightInd w:val="0"/>
              <w:spacing w:after="0" w:line="240" w:lineRule="auto"/>
              <w:jc w:val="both"/>
              <w:rPr>
                <w:rFonts w:ascii="Arial" w:hAnsi="Arial" w:cs="Arial"/>
                <w:sz w:val="20"/>
                <w:szCs w:val="20"/>
              </w:rPr>
            </w:pPr>
            <w:r>
              <w:rPr>
                <w:rFonts w:ascii="Times-Roman" w:hAnsi="Times-Roman" w:cs="Times-Roman"/>
                <w:sz w:val="24"/>
                <w:szCs w:val="24"/>
              </w:rPr>
              <w:t>El capital regulador e</w:t>
            </w:r>
            <w:r w:rsidRPr="00CF6862">
              <w:rPr>
                <w:rFonts w:ascii="Times-Roman" w:hAnsi="Times-Roman" w:cs="Times-Roman"/>
                <w:sz w:val="24"/>
                <w:szCs w:val="24"/>
              </w:rPr>
              <w:t>s un concep</w:t>
            </w:r>
            <w:r w:rsidRPr="00CF6862">
              <w:rPr>
                <w:rFonts w:ascii="Times New Roman" w:hAnsi="Times New Roman"/>
                <w:sz w:val="24"/>
                <w:szCs w:val="24"/>
              </w:rPr>
              <w:t>to de la supervisión prudencial</w:t>
            </w:r>
            <w:r>
              <w:rPr>
                <w:rFonts w:ascii="Times New Roman" w:hAnsi="Times New Roman"/>
                <w:sz w:val="24"/>
                <w:szCs w:val="24"/>
              </w:rPr>
              <w:t xml:space="preserve"> internacional,</w:t>
            </w:r>
            <w:r w:rsidRPr="00CF6862">
              <w:rPr>
                <w:rFonts w:ascii="Times New Roman" w:hAnsi="Times New Roman"/>
                <w:sz w:val="24"/>
                <w:szCs w:val="24"/>
              </w:rPr>
              <w:t xml:space="preserve"> que </w:t>
            </w:r>
            <w:r>
              <w:rPr>
                <w:rFonts w:ascii="Times New Roman" w:hAnsi="Times New Roman"/>
                <w:sz w:val="24"/>
                <w:szCs w:val="24"/>
              </w:rPr>
              <w:t>exige</w:t>
            </w:r>
            <w:r w:rsidRPr="00CF6862">
              <w:rPr>
                <w:rFonts w:ascii="Times New Roman" w:hAnsi="Times New Roman"/>
                <w:sz w:val="24"/>
                <w:szCs w:val="24"/>
              </w:rPr>
              <w:t xml:space="preserve"> que tod</w:t>
            </w:r>
            <w:r>
              <w:rPr>
                <w:rFonts w:ascii="Times New Roman" w:hAnsi="Times New Roman"/>
                <w:sz w:val="24"/>
                <w:szCs w:val="24"/>
              </w:rPr>
              <w:t>as</w:t>
            </w:r>
            <w:r w:rsidRPr="00CF6862">
              <w:rPr>
                <w:rFonts w:ascii="Times New Roman" w:hAnsi="Times New Roman"/>
                <w:sz w:val="24"/>
                <w:szCs w:val="24"/>
              </w:rPr>
              <w:t xml:space="preserve"> </w:t>
            </w:r>
            <w:r>
              <w:rPr>
                <w:rFonts w:ascii="Times New Roman" w:hAnsi="Times New Roman"/>
                <w:sz w:val="24"/>
                <w:szCs w:val="24"/>
              </w:rPr>
              <w:t>los bancos operativos</w:t>
            </w:r>
            <w:r w:rsidRPr="00CF6862">
              <w:rPr>
                <w:rFonts w:ascii="Times New Roman" w:hAnsi="Times New Roman"/>
                <w:sz w:val="24"/>
                <w:szCs w:val="24"/>
              </w:rPr>
              <w:t xml:space="preserve"> deben mantener una relación</w:t>
            </w:r>
            <w:r>
              <w:rPr>
                <w:rFonts w:ascii="Times New Roman" w:hAnsi="Times New Roman"/>
                <w:sz w:val="24"/>
                <w:szCs w:val="24"/>
              </w:rPr>
              <w:t xml:space="preserve"> mínima</w:t>
            </w:r>
            <w:r w:rsidRPr="00CF6862">
              <w:rPr>
                <w:rFonts w:ascii="Times New Roman" w:hAnsi="Times New Roman"/>
                <w:sz w:val="24"/>
                <w:szCs w:val="24"/>
              </w:rPr>
              <w:t xml:space="preserve"> entre su capital  </w:t>
            </w:r>
            <w:r>
              <w:rPr>
                <w:rFonts w:ascii="Times New Roman" w:hAnsi="Times New Roman"/>
                <w:sz w:val="24"/>
                <w:szCs w:val="24"/>
              </w:rPr>
              <w:t>regulador (patrimonio técnico constituido)</w:t>
            </w:r>
            <w:r w:rsidRPr="00CF6862">
              <w:rPr>
                <w:rFonts w:ascii="Times New Roman" w:hAnsi="Times New Roman"/>
                <w:sz w:val="24"/>
                <w:szCs w:val="24"/>
              </w:rPr>
              <w:t xml:space="preserve"> frente a los  </w:t>
            </w:r>
            <w:r w:rsidRPr="00CF6862">
              <w:rPr>
                <w:rFonts w:ascii="Times New Roman" w:hAnsi="Times New Roman"/>
                <w:iCs/>
                <w:sz w:val="24"/>
                <w:szCs w:val="24"/>
              </w:rPr>
              <w:t xml:space="preserve">activos y </w:t>
            </w:r>
            <w:r>
              <w:rPr>
                <w:rFonts w:ascii="Times New Roman" w:hAnsi="Times New Roman"/>
                <w:iCs/>
                <w:sz w:val="24"/>
                <w:szCs w:val="24"/>
              </w:rPr>
              <w:t>c</w:t>
            </w:r>
            <w:r w:rsidRPr="00CF6862">
              <w:rPr>
                <w:rFonts w:ascii="Times New Roman" w:hAnsi="Times New Roman"/>
                <w:iCs/>
                <w:sz w:val="24"/>
                <w:szCs w:val="24"/>
              </w:rPr>
              <w:t xml:space="preserve">ontingentes  ponderados </w:t>
            </w:r>
            <w:r>
              <w:rPr>
                <w:rFonts w:ascii="Times New Roman" w:hAnsi="Times New Roman"/>
                <w:iCs/>
                <w:sz w:val="24"/>
                <w:szCs w:val="24"/>
              </w:rPr>
              <w:t>en función del</w:t>
            </w:r>
            <w:r w:rsidRPr="00CF6862">
              <w:rPr>
                <w:rFonts w:ascii="Times New Roman" w:hAnsi="Times New Roman"/>
                <w:iCs/>
                <w:sz w:val="24"/>
                <w:szCs w:val="24"/>
              </w:rPr>
              <w:t xml:space="preserve"> riesgo</w:t>
            </w:r>
            <w:r>
              <w:rPr>
                <w:rFonts w:ascii="Times New Roman" w:hAnsi="Times New Roman"/>
                <w:iCs/>
                <w:sz w:val="24"/>
                <w:szCs w:val="24"/>
              </w:rPr>
              <w:t xml:space="preserve"> (patrimonio técnico requerido).  En el caso del Ecuador para las instituciones financieras públicas y privadas la proporción debe ser de por lo menos el 9%</w:t>
            </w:r>
            <w:r w:rsidRPr="00CF6862">
              <w:rPr>
                <w:rFonts w:ascii="Times New Roman" w:hAnsi="Times New Roman"/>
                <w:sz w:val="24"/>
                <w:szCs w:val="24"/>
              </w:rPr>
              <w:t>.</w:t>
            </w:r>
            <w:r>
              <w:rPr>
                <w:rFonts w:ascii="Times New Roman" w:hAnsi="Times New Roman"/>
                <w:sz w:val="24"/>
                <w:szCs w:val="24"/>
              </w:rPr>
              <w:t xml:space="preserve"> Si el indicador es igual o mayor al 9% la entidad cumpliría con el requerimiento de solvencia caso contrario no.  Para el agregado del sistema financiero público y privado </w:t>
            </w:r>
            <w:r w:rsidRPr="002F2374">
              <w:rPr>
                <w:rFonts w:ascii="Times-Roman" w:hAnsi="Times-Roman" w:cs="Times-Roman"/>
                <w:sz w:val="24"/>
                <w:szCs w:val="24"/>
              </w:rPr>
              <w:t xml:space="preserve">es un referente  para evaluar si </w:t>
            </w:r>
            <w:r>
              <w:rPr>
                <w:rFonts w:ascii="Times-Roman" w:hAnsi="Times-Roman" w:cs="Times-Roman"/>
                <w:sz w:val="24"/>
                <w:szCs w:val="24"/>
              </w:rPr>
              <w:t>las institu</w:t>
            </w:r>
            <w:bookmarkStart w:id="0" w:name="_GoBack"/>
            <w:bookmarkEnd w:id="0"/>
            <w:r>
              <w:rPr>
                <w:rFonts w:ascii="Times-Roman" w:hAnsi="Times-Roman" w:cs="Times-Roman"/>
                <w:sz w:val="24"/>
                <w:szCs w:val="24"/>
              </w:rPr>
              <w:t>ciones financieras</w:t>
            </w:r>
            <w:r w:rsidRPr="002F2374">
              <w:rPr>
                <w:rFonts w:ascii="Times-Roman" w:hAnsi="Times-Roman" w:cs="Times-Roman"/>
                <w:sz w:val="24"/>
                <w:szCs w:val="24"/>
              </w:rPr>
              <w:t xml:space="preserve"> tienen suficiente capital para </w:t>
            </w:r>
            <w:r>
              <w:rPr>
                <w:rFonts w:ascii="Times-Roman" w:hAnsi="Times-Roman" w:cs="Times-Roman"/>
                <w:sz w:val="24"/>
                <w:szCs w:val="24"/>
              </w:rPr>
              <w:t xml:space="preserve"> s</w:t>
            </w:r>
            <w:r w:rsidRPr="002F2374">
              <w:rPr>
                <w:rFonts w:ascii="Times-Roman" w:hAnsi="Times-Roman" w:cs="Times-Roman"/>
                <w:sz w:val="24"/>
                <w:szCs w:val="24"/>
              </w:rPr>
              <w:t>obreponerse a posibles perturbaciones económicas</w:t>
            </w:r>
            <w:r w:rsidR="00325DFD" w:rsidRPr="0018362F">
              <w:rPr>
                <w:rFonts w:ascii="Arial" w:hAnsi="Arial" w:cs="Arial"/>
                <w:sz w:val="20"/>
                <w:szCs w:val="20"/>
              </w:rPr>
              <w:t>.</w:t>
            </w:r>
            <w:r w:rsidR="00C427B5" w:rsidRPr="0018362F">
              <w:rPr>
                <w:rStyle w:val="Refdenotaalpie"/>
                <w:rFonts w:ascii="Arial" w:hAnsi="Arial" w:cs="Arial"/>
                <w:sz w:val="20"/>
                <w:szCs w:val="20"/>
              </w:rPr>
              <w:footnoteReference w:id="2"/>
            </w:r>
          </w:p>
        </w:tc>
      </w:tr>
      <w:tr w:rsidR="004E7BA5" w:rsidRPr="00C427B5" w:rsidTr="00C427B5">
        <w:trPr>
          <w:trHeight w:val="627"/>
          <w:tblCellSpacing w:w="20" w:type="dxa"/>
        </w:trPr>
        <w:tc>
          <w:tcPr>
            <w:tcW w:w="2385" w:type="pct"/>
            <w:gridSpan w:val="3"/>
            <w:shd w:val="clear" w:color="auto" w:fill="C6D9F1"/>
            <w:vAlign w:val="center"/>
            <w:hideMark/>
          </w:tcPr>
          <w:p w:rsidR="004E7BA5" w:rsidRPr="00C427B5" w:rsidRDefault="004E7BA5" w:rsidP="002F5459">
            <w:pPr>
              <w:rPr>
                <w:rFonts w:ascii="Arial" w:eastAsia="Times New Roman" w:hAnsi="Arial" w:cs="Arial"/>
                <w:b/>
                <w:bCs/>
                <w:sz w:val="20"/>
                <w:szCs w:val="20"/>
              </w:rPr>
            </w:pPr>
            <w:r w:rsidRPr="00C427B5">
              <w:rPr>
                <w:rFonts w:ascii="Arial" w:eastAsia="Times New Roman" w:hAnsi="Arial" w:cs="Arial"/>
                <w:b/>
                <w:bCs/>
                <w:sz w:val="20"/>
                <w:szCs w:val="20"/>
              </w:rPr>
              <w:t xml:space="preserve">FUENTE DE DATOS </w:t>
            </w:r>
          </w:p>
        </w:tc>
        <w:tc>
          <w:tcPr>
            <w:tcW w:w="2560" w:type="pct"/>
            <w:gridSpan w:val="2"/>
            <w:shd w:val="clear" w:color="auto" w:fill="auto"/>
            <w:vAlign w:val="center"/>
            <w:hideMark/>
          </w:tcPr>
          <w:p w:rsidR="002B38D4" w:rsidRDefault="002B38D4" w:rsidP="002B38D4">
            <w:pPr>
              <w:pStyle w:val="NormalWeb"/>
              <w:spacing w:before="0" w:beforeAutospacing="0" w:after="0" w:afterAutospacing="0"/>
              <w:jc w:val="both"/>
              <w:rPr>
                <w:rFonts w:ascii="Arial" w:eastAsia="Calibri" w:hAnsi="Arial" w:cs="Arial"/>
                <w:iCs/>
                <w:color w:val="000000"/>
                <w:sz w:val="20"/>
                <w:szCs w:val="20"/>
                <w:lang w:val="es-EC" w:eastAsia="en-US"/>
              </w:rPr>
            </w:pPr>
            <w:r w:rsidRPr="00C427B5">
              <w:rPr>
                <w:rFonts w:ascii="Arial" w:eastAsia="Calibri" w:hAnsi="Arial" w:cs="Arial"/>
                <w:iCs/>
                <w:color w:val="000000"/>
                <w:sz w:val="20"/>
                <w:szCs w:val="20"/>
                <w:lang w:val="es-EC" w:eastAsia="en-US"/>
              </w:rPr>
              <w:t>Estadísticas de las Estructuras Integradas de Información:</w:t>
            </w:r>
          </w:p>
          <w:p w:rsidR="00C427B5" w:rsidRPr="00C427B5" w:rsidRDefault="00C427B5" w:rsidP="002B38D4">
            <w:pPr>
              <w:pStyle w:val="NormalWeb"/>
              <w:spacing w:before="0" w:beforeAutospacing="0" w:after="0" w:afterAutospacing="0"/>
              <w:jc w:val="both"/>
              <w:rPr>
                <w:rFonts w:ascii="Arial" w:eastAsia="Calibri" w:hAnsi="Arial" w:cs="Arial"/>
                <w:iCs/>
                <w:color w:val="000000"/>
                <w:sz w:val="20"/>
                <w:szCs w:val="20"/>
                <w:lang w:val="es-EC" w:eastAsia="en-US"/>
              </w:rPr>
            </w:pPr>
          </w:p>
          <w:p w:rsidR="004E7BA5" w:rsidRPr="00C427B5" w:rsidRDefault="002B38D4" w:rsidP="002B38D4">
            <w:pPr>
              <w:pStyle w:val="NormalWeb"/>
              <w:spacing w:before="0" w:beforeAutospacing="0" w:after="0" w:afterAutospacing="0"/>
              <w:jc w:val="both"/>
              <w:rPr>
                <w:rFonts w:ascii="Arial" w:eastAsia="Calibri" w:hAnsi="Arial" w:cs="Arial"/>
                <w:iCs/>
                <w:color w:val="000000"/>
                <w:sz w:val="20"/>
                <w:szCs w:val="20"/>
                <w:lang w:val="es-EC" w:eastAsia="en-US"/>
              </w:rPr>
            </w:pPr>
            <w:r w:rsidRPr="00C427B5">
              <w:rPr>
                <w:rFonts w:ascii="Arial" w:eastAsia="Calibri" w:hAnsi="Arial" w:cs="Arial"/>
                <w:iCs/>
                <w:color w:val="000000"/>
                <w:sz w:val="20"/>
                <w:szCs w:val="20"/>
                <w:lang w:val="es-EC" w:eastAsia="en-US"/>
              </w:rPr>
              <w:t>Datos Agregados de cartera improductiva y cartera bruta para las Estadísticas de los Indicadores de Solidez Financiera</w:t>
            </w:r>
            <w:r w:rsidR="003D034C">
              <w:rPr>
                <w:rFonts w:ascii="Arial" w:eastAsia="Calibri" w:hAnsi="Arial" w:cs="Arial"/>
                <w:iCs/>
                <w:color w:val="000000"/>
                <w:sz w:val="20"/>
                <w:szCs w:val="20"/>
                <w:lang w:val="es-EC" w:eastAsia="en-US"/>
              </w:rPr>
              <w:t xml:space="preserve"> de la Superintendencia de Bancos</w:t>
            </w:r>
          </w:p>
        </w:tc>
      </w:tr>
      <w:tr w:rsidR="004E7BA5" w:rsidRPr="00C427B5" w:rsidTr="00C427B5">
        <w:trPr>
          <w:trHeight w:val="612"/>
          <w:tblCellSpacing w:w="20" w:type="dxa"/>
        </w:trPr>
        <w:tc>
          <w:tcPr>
            <w:tcW w:w="2385" w:type="pct"/>
            <w:gridSpan w:val="3"/>
            <w:shd w:val="clear" w:color="auto" w:fill="C6D9F1"/>
            <w:vAlign w:val="center"/>
            <w:hideMark/>
          </w:tcPr>
          <w:p w:rsidR="004E7BA5" w:rsidRPr="00C427B5" w:rsidRDefault="004E7BA5" w:rsidP="0059347C">
            <w:pPr>
              <w:rPr>
                <w:rFonts w:ascii="Arial" w:eastAsia="Times New Roman" w:hAnsi="Arial" w:cs="Arial"/>
                <w:b/>
                <w:bCs/>
                <w:sz w:val="20"/>
                <w:szCs w:val="20"/>
              </w:rPr>
            </w:pPr>
            <w:r w:rsidRPr="00C427B5">
              <w:rPr>
                <w:rFonts w:ascii="Arial" w:eastAsia="Times New Roman" w:hAnsi="Arial" w:cs="Arial"/>
                <w:b/>
                <w:bCs/>
                <w:sz w:val="20"/>
                <w:szCs w:val="20"/>
              </w:rPr>
              <w:t xml:space="preserve">PERIODICIDAD DE REPORTE DEL INDICADOR </w:t>
            </w:r>
          </w:p>
        </w:tc>
        <w:tc>
          <w:tcPr>
            <w:tcW w:w="2560" w:type="pct"/>
            <w:gridSpan w:val="2"/>
            <w:shd w:val="clear" w:color="auto" w:fill="auto"/>
            <w:vAlign w:val="center"/>
            <w:hideMark/>
          </w:tcPr>
          <w:p w:rsidR="004E7BA5" w:rsidRPr="00C427B5" w:rsidRDefault="00304F9F" w:rsidP="0059347C">
            <w:pPr>
              <w:jc w:val="both"/>
              <w:rPr>
                <w:rFonts w:ascii="Arial" w:eastAsia="Times New Roman" w:hAnsi="Arial" w:cs="Arial"/>
                <w:sz w:val="20"/>
                <w:szCs w:val="20"/>
              </w:rPr>
            </w:pPr>
            <w:r w:rsidRPr="00C427B5">
              <w:rPr>
                <w:rFonts w:ascii="Arial" w:eastAsia="Times New Roman" w:hAnsi="Arial" w:cs="Arial"/>
                <w:sz w:val="20"/>
                <w:szCs w:val="20"/>
              </w:rPr>
              <w:t>Anual</w:t>
            </w:r>
          </w:p>
        </w:tc>
      </w:tr>
      <w:tr w:rsidR="004E7BA5" w:rsidRPr="00C427B5" w:rsidTr="00C427B5">
        <w:trPr>
          <w:trHeight w:val="368"/>
          <w:tblCellSpacing w:w="20" w:type="dxa"/>
        </w:trPr>
        <w:tc>
          <w:tcPr>
            <w:tcW w:w="2385" w:type="pct"/>
            <w:gridSpan w:val="3"/>
            <w:shd w:val="clear" w:color="auto" w:fill="C6D9F1"/>
            <w:vAlign w:val="center"/>
            <w:hideMark/>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DISPONIBILIDAD DE LOS DATOS</w:t>
            </w:r>
          </w:p>
        </w:tc>
        <w:tc>
          <w:tcPr>
            <w:tcW w:w="2560" w:type="pct"/>
            <w:gridSpan w:val="2"/>
            <w:shd w:val="clear" w:color="auto" w:fill="auto"/>
            <w:vAlign w:val="center"/>
            <w:hideMark/>
          </w:tcPr>
          <w:p w:rsidR="004E7BA5" w:rsidRPr="00C427B5" w:rsidRDefault="00677235" w:rsidP="00361CD4">
            <w:pPr>
              <w:jc w:val="both"/>
              <w:rPr>
                <w:rFonts w:ascii="Arial" w:eastAsia="Times New Roman" w:hAnsi="Arial" w:cs="Arial"/>
                <w:sz w:val="20"/>
                <w:szCs w:val="20"/>
              </w:rPr>
            </w:pPr>
            <w:r w:rsidRPr="00C427B5">
              <w:rPr>
                <w:rFonts w:ascii="Arial" w:eastAsia="Times New Roman" w:hAnsi="Arial" w:cs="Arial"/>
                <w:sz w:val="20"/>
                <w:szCs w:val="20"/>
              </w:rPr>
              <w:t>Desde</w:t>
            </w:r>
            <w:r w:rsidR="000752AE" w:rsidRPr="00C427B5">
              <w:rPr>
                <w:rFonts w:ascii="Arial" w:eastAsia="Times New Roman" w:hAnsi="Arial" w:cs="Arial"/>
                <w:sz w:val="20"/>
                <w:szCs w:val="20"/>
              </w:rPr>
              <w:t xml:space="preserve"> </w:t>
            </w:r>
            <w:r w:rsidR="00361CD4" w:rsidRPr="00C427B5">
              <w:rPr>
                <w:rFonts w:ascii="Arial" w:eastAsia="Times New Roman" w:hAnsi="Arial" w:cs="Arial"/>
                <w:sz w:val="20"/>
                <w:szCs w:val="20"/>
              </w:rPr>
              <w:t>el 2012, con corte al</w:t>
            </w:r>
            <w:r w:rsidR="00F03359" w:rsidRPr="00C427B5">
              <w:rPr>
                <w:rFonts w:ascii="Arial" w:eastAsia="Times New Roman" w:hAnsi="Arial" w:cs="Arial"/>
                <w:sz w:val="20"/>
                <w:szCs w:val="20"/>
              </w:rPr>
              <w:t xml:space="preserve"> </w:t>
            </w:r>
            <w:r w:rsidR="000752AE" w:rsidRPr="00C427B5">
              <w:rPr>
                <w:rFonts w:ascii="Arial" w:eastAsia="Times New Roman" w:hAnsi="Arial" w:cs="Arial"/>
                <w:sz w:val="20"/>
                <w:szCs w:val="20"/>
              </w:rPr>
              <w:t>31 de diciembre</w:t>
            </w:r>
            <w:r w:rsidR="0047207E" w:rsidRPr="00C427B5">
              <w:rPr>
                <w:rFonts w:ascii="Arial" w:eastAsia="Times New Roman" w:hAnsi="Arial" w:cs="Arial"/>
                <w:sz w:val="20"/>
                <w:szCs w:val="20"/>
              </w:rPr>
              <w:t>.</w:t>
            </w:r>
          </w:p>
        </w:tc>
      </w:tr>
      <w:tr w:rsidR="004E7BA5" w:rsidRPr="00C427B5" w:rsidTr="00C427B5">
        <w:trPr>
          <w:trHeight w:val="491"/>
          <w:tblCellSpacing w:w="20" w:type="dxa"/>
        </w:trPr>
        <w:tc>
          <w:tcPr>
            <w:tcW w:w="1043" w:type="pct"/>
            <w:vMerge w:val="restart"/>
            <w:tcBorders>
              <w:top w:val="outset" w:sz="6" w:space="0" w:color="auto"/>
              <w:right w:val="outset" w:sz="6" w:space="0" w:color="auto"/>
            </w:tcBorders>
            <w:shd w:val="clear" w:color="auto" w:fill="C6D9F1"/>
            <w:vAlign w:val="center"/>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NIVEL DE DESAGREGACIÓN</w:t>
            </w:r>
          </w:p>
        </w:tc>
        <w:tc>
          <w:tcPr>
            <w:tcW w:w="1324" w:type="pct"/>
            <w:gridSpan w:val="2"/>
            <w:tcBorders>
              <w:top w:val="outset" w:sz="6" w:space="0" w:color="auto"/>
              <w:left w:val="outset" w:sz="6" w:space="0" w:color="auto"/>
            </w:tcBorders>
            <w:shd w:val="clear" w:color="auto" w:fill="C6D9F1"/>
            <w:vAlign w:val="center"/>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GEOGRÁFICO</w:t>
            </w:r>
          </w:p>
        </w:tc>
        <w:tc>
          <w:tcPr>
            <w:tcW w:w="2560" w:type="pct"/>
            <w:gridSpan w:val="2"/>
            <w:shd w:val="clear" w:color="auto" w:fill="auto"/>
            <w:vAlign w:val="center"/>
          </w:tcPr>
          <w:p w:rsidR="004E7BA5" w:rsidRPr="00C427B5" w:rsidRDefault="00E178BF" w:rsidP="00325DFD">
            <w:pPr>
              <w:jc w:val="both"/>
              <w:rPr>
                <w:rFonts w:ascii="Arial" w:hAnsi="Arial" w:cs="Arial"/>
                <w:sz w:val="20"/>
                <w:szCs w:val="20"/>
                <w:lang w:eastAsia="en-US"/>
              </w:rPr>
            </w:pPr>
            <w:r w:rsidRPr="00C427B5">
              <w:rPr>
                <w:rFonts w:ascii="Arial" w:hAnsi="Arial" w:cs="Arial"/>
                <w:sz w:val="20"/>
                <w:szCs w:val="20"/>
                <w:lang w:eastAsia="en-US"/>
              </w:rPr>
              <w:t>Nacional</w:t>
            </w:r>
            <w:r w:rsidR="00325DFD">
              <w:rPr>
                <w:rStyle w:val="Refdenotaalpie"/>
                <w:rFonts w:ascii="Arial" w:hAnsi="Arial" w:cs="Arial"/>
                <w:sz w:val="20"/>
                <w:szCs w:val="20"/>
                <w:lang w:eastAsia="en-US"/>
              </w:rPr>
              <w:footnoteReference w:id="3"/>
            </w:r>
            <w:r w:rsidRPr="00C427B5">
              <w:rPr>
                <w:rFonts w:ascii="Arial" w:hAnsi="Arial" w:cs="Arial"/>
                <w:sz w:val="20"/>
                <w:szCs w:val="20"/>
                <w:lang w:eastAsia="en-US"/>
              </w:rPr>
              <w:t xml:space="preserve"> </w:t>
            </w:r>
          </w:p>
        </w:tc>
      </w:tr>
      <w:tr w:rsidR="004E7BA5" w:rsidRPr="00C427B5" w:rsidTr="00C427B5">
        <w:trPr>
          <w:trHeight w:val="376"/>
          <w:tblCellSpacing w:w="20" w:type="dxa"/>
        </w:trPr>
        <w:tc>
          <w:tcPr>
            <w:tcW w:w="1043" w:type="pct"/>
            <w:vMerge/>
            <w:tcBorders>
              <w:right w:val="outset" w:sz="6" w:space="0" w:color="auto"/>
            </w:tcBorders>
            <w:shd w:val="clear" w:color="auto" w:fill="C6D9F1"/>
            <w:vAlign w:val="center"/>
          </w:tcPr>
          <w:p w:rsidR="004E7BA5" w:rsidRPr="00C427B5" w:rsidRDefault="004E7BA5" w:rsidP="00004233">
            <w:pPr>
              <w:rPr>
                <w:rFonts w:ascii="Arial" w:eastAsia="Times New Roman" w:hAnsi="Arial" w:cs="Arial"/>
                <w:b/>
                <w:bCs/>
                <w:sz w:val="20"/>
                <w:szCs w:val="20"/>
              </w:rPr>
            </w:pPr>
          </w:p>
        </w:tc>
        <w:tc>
          <w:tcPr>
            <w:tcW w:w="1324" w:type="pct"/>
            <w:gridSpan w:val="2"/>
            <w:tcBorders>
              <w:left w:val="outset" w:sz="6" w:space="0" w:color="auto"/>
            </w:tcBorders>
            <w:shd w:val="clear" w:color="auto" w:fill="C6D9F1"/>
            <w:vAlign w:val="center"/>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GENERAL</w:t>
            </w:r>
          </w:p>
        </w:tc>
        <w:tc>
          <w:tcPr>
            <w:tcW w:w="2560" w:type="pct"/>
            <w:gridSpan w:val="2"/>
            <w:shd w:val="clear" w:color="auto" w:fill="auto"/>
            <w:vAlign w:val="center"/>
          </w:tcPr>
          <w:p w:rsidR="00325DFD" w:rsidRPr="00C427B5" w:rsidRDefault="00325DFD" w:rsidP="00C26D32">
            <w:pPr>
              <w:jc w:val="both"/>
              <w:rPr>
                <w:rFonts w:ascii="Arial" w:hAnsi="Arial" w:cs="Arial"/>
                <w:sz w:val="20"/>
                <w:szCs w:val="20"/>
              </w:rPr>
            </w:pPr>
            <w:r>
              <w:rPr>
                <w:rFonts w:ascii="Arial" w:hAnsi="Arial" w:cs="Arial"/>
                <w:sz w:val="20"/>
                <w:szCs w:val="20"/>
              </w:rPr>
              <w:t>No aplica.</w:t>
            </w:r>
          </w:p>
        </w:tc>
      </w:tr>
      <w:tr w:rsidR="004E7BA5" w:rsidRPr="00C427B5" w:rsidTr="00C427B5">
        <w:trPr>
          <w:trHeight w:val="256"/>
          <w:tblCellSpacing w:w="20" w:type="dxa"/>
        </w:trPr>
        <w:tc>
          <w:tcPr>
            <w:tcW w:w="1043" w:type="pct"/>
            <w:vMerge/>
            <w:tcBorders>
              <w:bottom w:val="outset" w:sz="6" w:space="0" w:color="auto"/>
              <w:right w:val="outset" w:sz="6" w:space="0" w:color="auto"/>
            </w:tcBorders>
            <w:shd w:val="clear" w:color="auto" w:fill="C6D9F1"/>
            <w:vAlign w:val="center"/>
          </w:tcPr>
          <w:p w:rsidR="004E7BA5" w:rsidRPr="00C427B5" w:rsidRDefault="004E7BA5" w:rsidP="00004233">
            <w:pPr>
              <w:rPr>
                <w:rFonts w:ascii="Arial" w:eastAsia="Times New Roman" w:hAnsi="Arial" w:cs="Arial"/>
                <w:b/>
                <w:bCs/>
                <w:sz w:val="20"/>
                <w:szCs w:val="20"/>
              </w:rPr>
            </w:pPr>
          </w:p>
        </w:tc>
        <w:tc>
          <w:tcPr>
            <w:tcW w:w="1324" w:type="pct"/>
            <w:gridSpan w:val="2"/>
            <w:tcBorders>
              <w:left w:val="outset" w:sz="6" w:space="0" w:color="auto"/>
              <w:bottom w:val="outset" w:sz="6" w:space="0" w:color="auto"/>
            </w:tcBorders>
            <w:shd w:val="clear" w:color="auto" w:fill="C6D9F1"/>
            <w:vAlign w:val="center"/>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OTROS ÁMBITOS</w:t>
            </w:r>
          </w:p>
        </w:tc>
        <w:tc>
          <w:tcPr>
            <w:tcW w:w="2560" w:type="pct"/>
            <w:gridSpan w:val="2"/>
            <w:shd w:val="clear" w:color="auto" w:fill="auto"/>
            <w:vAlign w:val="center"/>
          </w:tcPr>
          <w:p w:rsidR="004E7BA5" w:rsidRPr="00C427B5" w:rsidRDefault="00325DFD" w:rsidP="00004233">
            <w:pPr>
              <w:jc w:val="both"/>
              <w:rPr>
                <w:rFonts w:ascii="Arial" w:eastAsia="Times New Roman" w:hAnsi="Arial" w:cs="Arial"/>
                <w:sz w:val="20"/>
                <w:szCs w:val="20"/>
              </w:rPr>
            </w:pPr>
            <w:r>
              <w:rPr>
                <w:rFonts w:ascii="Arial" w:hAnsi="Arial" w:cs="Arial"/>
                <w:sz w:val="20"/>
                <w:szCs w:val="20"/>
              </w:rPr>
              <w:t>No aplica.</w:t>
            </w:r>
          </w:p>
        </w:tc>
      </w:tr>
      <w:tr w:rsidR="004E7BA5" w:rsidRPr="00C427B5" w:rsidTr="00C427B5">
        <w:trPr>
          <w:trHeight w:val="689"/>
          <w:tblCellSpacing w:w="20" w:type="dxa"/>
        </w:trPr>
        <w:tc>
          <w:tcPr>
            <w:tcW w:w="2385" w:type="pct"/>
            <w:gridSpan w:val="3"/>
            <w:shd w:val="clear" w:color="auto" w:fill="C6D9F1"/>
            <w:vAlign w:val="center"/>
            <w:hideMark/>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INFORMACIÓN GEO – REFERENCIADA</w:t>
            </w:r>
          </w:p>
        </w:tc>
        <w:tc>
          <w:tcPr>
            <w:tcW w:w="2560" w:type="pct"/>
            <w:gridSpan w:val="2"/>
            <w:shd w:val="clear" w:color="auto" w:fill="auto"/>
            <w:vAlign w:val="center"/>
            <w:hideMark/>
          </w:tcPr>
          <w:p w:rsidR="004E7BA5" w:rsidRPr="00C427B5" w:rsidRDefault="00325DFD" w:rsidP="002F5459">
            <w:pPr>
              <w:jc w:val="both"/>
              <w:rPr>
                <w:rFonts w:ascii="Arial" w:eastAsia="Times New Roman" w:hAnsi="Arial" w:cs="Arial"/>
                <w:color w:val="000000"/>
                <w:sz w:val="20"/>
                <w:szCs w:val="20"/>
              </w:rPr>
            </w:pPr>
            <w:r>
              <w:rPr>
                <w:rFonts w:ascii="Arial" w:hAnsi="Arial" w:cs="Arial"/>
                <w:sz w:val="20"/>
                <w:szCs w:val="20"/>
              </w:rPr>
              <w:t>No aplica.</w:t>
            </w:r>
          </w:p>
        </w:tc>
      </w:tr>
      <w:tr w:rsidR="004E7BA5" w:rsidRPr="00C427B5" w:rsidTr="00325DFD">
        <w:trPr>
          <w:trHeight w:val="2610"/>
          <w:tblCellSpacing w:w="20" w:type="dxa"/>
        </w:trPr>
        <w:tc>
          <w:tcPr>
            <w:tcW w:w="2385" w:type="pct"/>
            <w:gridSpan w:val="3"/>
            <w:shd w:val="clear" w:color="auto" w:fill="C6D9F1"/>
            <w:vAlign w:val="center"/>
            <w:hideMark/>
          </w:tcPr>
          <w:p w:rsidR="004E7BA5" w:rsidRPr="00C427B5" w:rsidRDefault="004E7BA5" w:rsidP="004E0B76">
            <w:pPr>
              <w:rPr>
                <w:rFonts w:ascii="Arial" w:eastAsia="Times New Roman" w:hAnsi="Arial" w:cs="Arial"/>
                <w:b/>
                <w:bCs/>
                <w:sz w:val="20"/>
                <w:szCs w:val="20"/>
              </w:rPr>
            </w:pPr>
            <w:r w:rsidRPr="00C427B5">
              <w:rPr>
                <w:rFonts w:ascii="Arial" w:eastAsia="Times New Roman" w:hAnsi="Arial" w:cs="Arial"/>
                <w:b/>
                <w:bCs/>
                <w:sz w:val="20"/>
                <w:szCs w:val="20"/>
              </w:rPr>
              <w:t>RELACI</w:t>
            </w:r>
            <w:r w:rsidRPr="00C427B5">
              <w:rPr>
                <w:rFonts w:ascii="Arial" w:eastAsia="Times New Roman" w:hAnsi="Arial" w:cs="Arial"/>
                <w:b/>
                <w:bCs/>
                <w:color w:val="000000"/>
                <w:sz w:val="20"/>
                <w:szCs w:val="20"/>
              </w:rPr>
              <w:t xml:space="preserve">ÓN CON  INSTRUMENTOS DE PLANIFICACIÓN NACIONAL </w:t>
            </w:r>
            <w:r w:rsidRPr="00C427B5">
              <w:rPr>
                <w:rFonts w:ascii="Arial" w:hAnsi="Arial" w:cs="Arial"/>
                <w:b/>
                <w:sz w:val="20"/>
                <w:szCs w:val="20"/>
              </w:rPr>
              <w:t xml:space="preserve">E </w:t>
            </w:r>
            <w:r w:rsidRPr="00C427B5">
              <w:rPr>
                <w:rFonts w:ascii="Arial" w:eastAsia="Times New Roman" w:hAnsi="Arial" w:cs="Arial"/>
                <w:b/>
                <w:bCs/>
                <w:color w:val="000000"/>
                <w:sz w:val="20"/>
                <w:szCs w:val="20"/>
              </w:rPr>
              <w:t>INTERNACIONAL</w:t>
            </w:r>
          </w:p>
        </w:tc>
        <w:tc>
          <w:tcPr>
            <w:tcW w:w="2560" w:type="pct"/>
            <w:gridSpan w:val="2"/>
            <w:shd w:val="clear" w:color="auto" w:fill="auto"/>
            <w:vAlign w:val="center"/>
            <w:hideMark/>
          </w:tcPr>
          <w:p w:rsidR="00C427B5" w:rsidRPr="00C427B5" w:rsidRDefault="00C427B5" w:rsidP="00C427B5">
            <w:pPr>
              <w:pStyle w:val="Prrafodelista"/>
              <w:numPr>
                <w:ilvl w:val="0"/>
                <w:numId w:val="36"/>
              </w:numPr>
              <w:spacing w:after="0" w:line="240" w:lineRule="auto"/>
              <w:jc w:val="both"/>
              <w:rPr>
                <w:rFonts w:ascii="Arial" w:eastAsia="Times New Roman" w:hAnsi="Arial" w:cs="Arial"/>
                <w:sz w:val="20"/>
                <w:szCs w:val="20"/>
              </w:rPr>
            </w:pPr>
            <w:r w:rsidRPr="00C427B5">
              <w:rPr>
                <w:rFonts w:ascii="Arial" w:eastAsia="Times New Roman" w:hAnsi="Arial" w:cs="Arial"/>
                <w:sz w:val="20"/>
                <w:szCs w:val="20"/>
              </w:rPr>
              <w:t>Agenda de Desarrollo 2030 – Objetivos de Desarrollo Sostenible</w:t>
            </w:r>
          </w:p>
          <w:p w:rsidR="002B0B98" w:rsidRPr="00C427B5" w:rsidRDefault="002B0B98" w:rsidP="004A0DC0">
            <w:pPr>
              <w:pStyle w:val="Textocomentario"/>
              <w:jc w:val="both"/>
              <w:rPr>
                <w:rFonts w:ascii="Arial" w:hAnsi="Arial" w:cs="Arial"/>
                <w:lang w:val="es-EC"/>
              </w:rPr>
            </w:pPr>
          </w:p>
          <w:p w:rsidR="004E7BA5" w:rsidRPr="00C427B5" w:rsidRDefault="003745D3" w:rsidP="004A0DC0">
            <w:pPr>
              <w:pStyle w:val="Textocomentario"/>
              <w:jc w:val="both"/>
              <w:rPr>
                <w:rFonts w:ascii="Arial" w:hAnsi="Arial" w:cs="Arial"/>
              </w:rPr>
            </w:pPr>
            <w:r w:rsidRPr="00C427B5">
              <w:rPr>
                <w:rFonts w:ascii="Arial" w:hAnsi="Arial" w:cs="Arial"/>
                <w:b/>
              </w:rPr>
              <w:t>Objetivo 10:</w:t>
            </w:r>
            <w:r w:rsidRPr="00C427B5">
              <w:rPr>
                <w:rFonts w:ascii="Arial" w:hAnsi="Arial" w:cs="Arial"/>
              </w:rPr>
              <w:t xml:space="preserve"> Reducir la desigualdad dentro y entre países.</w:t>
            </w:r>
          </w:p>
          <w:p w:rsidR="00C427B5" w:rsidRPr="00C427B5" w:rsidRDefault="00C427B5" w:rsidP="004A0DC0">
            <w:pPr>
              <w:pStyle w:val="Textocomentario"/>
              <w:jc w:val="both"/>
              <w:rPr>
                <w:rFonts w:ascii="Arial" w:hAnsi="Arial" w:cs="Arial"/>
              </w:rPr>
            </w:pPr>
          </w:p>
          <w:p w:rsidR="003745D3" w:rsidRPr="00C427B5" w:rsidRDefault="003745D3" w:rsidP="004A0DC0">
            <w:pPr>
              <w:pStyle w:val="Textocomentario"/>
              <w:jc w:val="both"/>
              <w:rPr>
                <w:rFonts w:ascii="Arial" w:hAnsi="Arial" w:cs="Arial"/>
              </w:rPr>
            </w:pPr>
            <w:r w:rsidRPr="00C427B5">
              <w:rPr>
                <w:rFonts w:ascii="Arial" w:hAnsi="Arial" w:cs="Arial"/>
                <w:b/>
              </w:rPr>
              <w:t>Meta 10.5</w:t>
            </w:r>
            <w:r w:rsidR="002F5459" w:rsidRPr="00C427B5">
              <w:rPr>
                <w:rFonts w:ascii="Arial" w:hAnsi="Arial" w:cs="Arial"/>
              </w:rPr>
              <w:t>:</w:t>
            </w:r>
            <w:r w:rsidRPr="00C427B5">
              <w:rPr>
                <w:rFonts w:ascii="Arial" w:hAnsi="Arial" w:cs="Arial"/>
              </w:rPr>
              <w:t xml:space="preserve"> Mejorar la regulación y supervisión de los mercados financieros globales y de las instituciones y fortalecer la aplicación de dichas normas.</w:t>
            </w:r>
          </w:p>
        </w:tc>
      </w:tr>
      <w:tr w:rsidR="004E7BA5" w:rsidRPr="00C427B5" w:rsidTr="00C427B5">
        <w:trPr>
          <w:trHeight w:val="527"/>
          <w:tblCellSpacing w:w="20" w:type="dxa"/>
        </w:trPr>
        <w:tc>
          <w:tcPr>
            <w:tcW w:w="2385" w:type="pct"/>
            <w:gridSpan w:val="3"/>
            <w:shd w:val="clear" w:color="auto" w:fill="C6D9F1"/>
            <w:vAlign w:val="center"/>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REFERENCIAS BIBLIOGRÁFICAS DE LA CONSTRUCCIÓN DEL INDICADOR</w:t>
            </w:r>
          </w:p>
        </w:tc>
        <w:tc>
          <w:tcPr>
            <w:tcW w:w="2560" w:type="pct"/>
            <w:gridSpan w:val="2"/>
            <w:shd w:val="clear" w:color="auto" w:fill="auto"/>
            <w:vAlign w:val="center"/>
          </w:tcPr>
          <w:p w:rsidR="004E7BA5" w:rsidRPr="00325DFD" w:rsidRDefault="000752AE" w:rsidP="002F5459">
            <w:pPr>
              <w:pStyle w:val="Prrafodelista"/>
              <w:numPr>
                <w:ilvl w:val="0"/>
                <w:numId w:val="34"/>
              </w:numPr>
              <w:autoSpaceDE w:val="0"/>
              <w:autoSpaceDN w:val="0"/>
              <w:adjustRightInd w:val="0"/>
              <w:spacing w:after="0" w:line="240" w:lineRule="auto"/>
              <w:jc w:val="both"/>
              <w:rPr>
                <w:rFonts w:ascii="Arial" w:hAnsi="Arial" w:cs="Arial"/>
                <w:iCs/>
                <w:sz w:val="20"/>
                <w:szCs w:val="20"/>
                <w:lang w:eastAsia="en-US"/>
              </w:rPr>
            </w:pPr>
            <w:r w:rsidRPr="00C427B5">
              <w:rPr>
                <w:rFonts w:ascii="Arial" w:hAnsi="Arial" w:cs="Arial"/>
                <w:iCs/>
                <w:color w:val="000000"/>
                <w:sz w:val="20"/>
                <w:szCs w:val="20"/>
                <w:lang w:eastAsia="en-US"/>
              </w:rPr>
              <w:t xml:space="preserve">Indicadores de solidez financiera: Guía </w:t>
            </w:r>
            <w:r w:rsidR="002F5459" w:rsidRPr="00C427B5">
              <w:rPr>
                <w:rFonts w:ascii="Arial" w:hAnsi="Arial" w:cs="Arial"/>
                <w:iCs/>
                <w:color w:val="000000"/>
                <w:sz w:val="20"/>
                <w:szCs w:val="20"/>
                <w:lang w:eastAsia="en-US"/>
              </w:rPr>
              <w:t>de compilación—Washington, D.C.</w:t>
            </w:r>
            <w:r w:rsidRPr="00C427B5">
              <w:rPr>
                <w:rFonts w:ascii="Arial" w:hAnsi="Arial" w:cs="Arial"/>
                <w:iCs/>
                <w:color w:val="000000"/>
                <w:sz w:val="20"/>
                <w:szCs w:val="20"/>
                <w:lang w:eastAsia="en-US"/>
              </w:rPr>
              <w:t>: Fondo</w:t>
            </w:r>
            <w:r w:rsidR="00387A9E" w:rsidRPr="00C427B5">
              <w:rPr>
                <w:rFonts w:ascii="Arial" w:hAnsi="Arial" w:cs="Arial"/>
                <w:iCs/>
                <w:color w:val="000000"/>
                <w:sz w:val="20"/>
                <w:szCs w:val="20"/>
                <w:lang w:eastAsia="en-US"/>
              </w:rPr>
              <w:t xml:space="preserve"> </w:t>
            </w:r>
            <w:r w:rsidRPr="00325DFD">
              <w:rPr>
                <w:rFonts w:ascii="Arial" w:hAnsi="Arial" w:cs="Arial"/>
                <w:iCs/>
                <w:sz w:val="20"/>
                <w:szCs w:val="20"/>
                <w:lang w:eastAsia="en-US"/>
              </w:rPr>
              <w:t>Monetario Internacional, 2006.</w:t>
            </w:r>
          </w:p>
          <w:p w:rsidR="004A6C98" w:rsidRPr="00325DFD" w:rsidRDefault="004A6C98" w:rsidP="000752AE">
            <w:pPr>
              <w:autoSpaceDE w:val="0"/>
              <w:autoSpaceDN w:val="0"/>
              <w:adjustRightInd w:val="0"/>
              <w:spacing w:after="0" w:line="240" w:lineRule="auto"/>
              <w:jc w:val="both"/>
              <w:rPr>
                <w:rFonts w:ascii="Arial" w:hAnsi="Arial" w:cs="Arial"/>
                <w:iCs/>
                <w:sz w:val="20"/>
                <w:szCs w:val="20"/>
                <w:lang w:eastAsia="en-US"/>
              </w:rPr>
            </w:pPr>
          </w:p>
          <w:p w:rsidR="004A6C98" w:rsidRPr="00325DFD" w:rsidRDefault="0047207E" w:rsidP="002F5459">
            <w:pPr>
              <w:pStyle w:val="Prrafodelista"/>
              <w:numPr>
                <w:ilvl w:val="0"/>
                <w:numId w:val="34"/>
              </w:numPr>
              <w:autoSpaceDE w:val="0"/>
              <w:autoSpaceDN w:val="0"/>
              <w:adjustRightInd w:val="0"/>
              <w:spacing w:after="0" w:line="240" w:lineRule="auto"/>
              <w:jc w:val="both"/>
              <w:rPr>
                <w:rFonts w:ascii="Arial" w:hAnsi="Arial" w:cs="Arial"/>
                <w:bCs/>
                <w:color w:val="31859C"/>
                <w:sz w:val="20"/>
                <w:szCs w:val="20"/>
              </w:rPr>
            </w:pPr>
            <w:r w:rsidRPr="00325DFD">
              <w:rPr>
                <w:rFonts w:ascii="Arial" w:hAnsi="Arial" w:cs="Arial"/>
                <w:bCs/>
                <w:sz w:val="20"/>
                <w:szCs w:val="20"/>
              </w:rPr>
              <w:t>Norma de solvencia contenida en la Codificación de Resoluciones de la Superintendencia de Bancos y de la Junta Bancaria, LIBRO I.- Normas Generales Para Las Instituciones del Sistema Financiero Titulo V.- Del Patrimonio Técnico Capitulo I.- Relación Entre El Patrimonio Técnico Total y</w:t>
            </w:r>
            <w:r w:rsidR="00E326FC" w:rsidRPr="00325DFD">
              <w:rPr>
                <w:rFonts w:ascii="Arial" w:hAnsi="Arial" w:cs="Arial"/>
                <w:bCs/>
                <w:sz w:val="20"/>
                <w:szCs w:val="20"/>
              </w:rPr>
              <w:t xml:space="preserve"> Los Activos y</w:t>
            </w:r>
            <w:r w:rsidRPr="00325DFD">
              <w:rPr>
                <w:rFonts w:ascii="Arial" w:hAnsi="Arial" w:cs="Arial"/>
                <w:bCs/>
                <w:sz w:val="20"/>
                <w:szCs w:val="20"/>
              </w:rPr>
              <w:t xml:space="preserve"> Cont</w:t>
            </w:r>
            <w:r w:rsidR="00E326FC" w:rsidRPr="00325DFD">
              <w:rPr>
                <w:rFonts w:ascii="Arial" w:hAnsi="Arial" w:cs="Arial"/>
                <w:bCs/>
                <w:sz w:val="20"/>
                <w:szCs w:val="20"/>
              </w:rPr>
              <w:t>ingentes Ponderados Por Riesgo para l</w:t>
            </w:r>
            <w:r w:rsidRPr="00325DFD">
              <w:rPr>
                <w:rFonts w:ascii="Arial" w:hAnsi="Arial" w:cs="Arial"/>
                <w:bCs/>
                <w:sz w:val="20"/>
                <w:szCs w:val="20"/>
              </w:rPr>
              <w:t>as Instituciones Del Sistema Financiero Público y Privado.</w:t>
            </w:r>
          </w:p>
          <w:p w:rsidR="00325DFD" w:rsidRPr="00325DFD" w:rsidRDefault="00325DFD" w:rsidP="00325DFD">
            <w:pPr>
              <w:autoSpaceDE w:val="0"/>
              <w:autoSpaceDN w:val="0"/>
              <w:adjustRightInd w:val="0"/>
              <w:spacing w:after="0" w:line="240" w:lineRule="auto"/>
              <w:jc w:val="both"/>
              <w:rPr>
                <w:rFonts w:ascii="Arial" w:hAnsi="Arial" w:cs="Arial"/>
                <w:bCs/>
                <w:color w:val="31859C"/>
                <w:sz w:val="20"/>
                <w:szCs w:val="20"/>
              </w:rPr>
            </w:pPr>
          </w:p>
          <w:p w:rsidR="007E28B3" w:rsidRPr="00325DFD" w:rsidRDefault="007E28B3" w:rsidP="002F5459">
            <w:pPr>
              <w:pStyle w:val="Prrafodelista"/>
              <w:numPr>
                <w:ilvl w:val="0"/>
                <w:numId w:val="34"/>
              </w:numPr>
              <w:autoSpaceDE w:val="0"/>
              <w:autoSpaceDN w:val="0"/>
              <w:adjustRightInd w:val="0"/>
              <w:spacing w:after="0" w:line="240" w:lineRule="auto"/>
              <w:jc w:val="both"/>
              <w:rPr>
                <w:rFonts w:ascii="Arial" w:hAnsi="Arial" w:cs="Arial"/>
                <w:b/>
                <w:bCs/>
                <w:color w:val="31859C"/>
                <w:sz w:val="20"/>
                <w:szCs w:val="20"/>
              </w:rPr>
            </w:pPr>
            <w:r w:rsidRPr="00C427B5">
              <w:rPr>
                <w:rFonts w:ascii="Arial" w:hAnsi="Arial" w:cs="Arial"/>
                <w:bCs/>
                <w:color w:val="000000"/>
                <w:sz w:val="20"/>
                <w:szCs w:val="20"/>
              </w:rPr>
              <w:t>Código Orgánico Monetario y Financiero</w:t>
            </w:r>
            <w:r w:rsidRPr="00C427B5">
              <w:rPr>
                <w:rFonts w:ascii="Arial" w:hAnsi="Arial" w:cs="Arial"/>
                <w:bCs/>
                <w:color w:val="000000"/>
                <w:sz w:val="20"/>
                <w:szCs w:val="20"/>
                <w:lang w:val="es-ES"/>
              </w:rPr>
              <w:t xml:space="preserve"> del Ecuador; Registro Oficial 332 de 12 de septiembre de 2014.</w:t>
            </w:r>
          </w:p>
          <w:p w:rsidR="00325DFD" w:rsidRPr="00325DFD" w:rsidRDefault="00325DFD" w:rsidP="00325DFD">
            <w:pPr>
              <w:autoSpaceDE w:val="0"/>
              <w:autoSpaceDN w:val="0"/>
              <w:adjustRightInd w:val="0"/>
              <w:spacing w:after="0" w:line="240" w:lineRule="auto"/>
              <w:jc w:val="both"/>
              <w:rPr>
                <w:rFonts w:ascii="Arial" w:hAnsi="Arial" w:cs="Arial"/>
                <w:b/>
                <w:bCs/>
                <w:color w:val="31859C"/>
                <w:sz w:val="20"/>
                <w:szCs w:val="20"/>
              </w:rPr>
            </w:pPr>
          </w:p>
          <w:p w:rsidR="000461E3" w:rsidRPr="00C427B5" w:rsidRDefault="007E28B3" w:rsidP="002F5459">
            <w:pPr>
              <w:pStyle w:val="Prrafodelista"/>
              <w:numPr>
                <w:ilvl w:val="0"/>
                <w:numId w:val="34"/>
              </w:numPr>
              <w:autoSpaceDE w:val="0"/>
              <w:autoSpaceDN w:val="0"/>
              <w:adjustRightInd w:val="0"/>
              <w:spacing w:after="0" w:line="240" w:lineRule="auto"/>
              <w:jc w:val="both"/>
              <w:rPr>
                <w:rFonts w:ascii="Arial" w:hAnsi="Arial" w:cs="Arial"/>
                <w:b/>
                <w:bCs/>
                <w:color w:val="31859C"/>
                <w:sz w:val="20"/>
                <w:szCs w:val="20"/>
              </w:rPr>
            </w:pPr>
            <w:r w:rsidRPr="00C427B5">
              <w:rPr>
                <w:rFonts w:ascii="Arial" w:hAnsi="Arial" w:cs="Arial"/>
                <w:color w:val="000000"/>
                <w:sz w:val="20"/>
                <w:szCs w:val="20"/>
              </w:rPr>
              <w:t xml:space="preserve">Junta de Regulación Monetaria y Financiera, </w:t>
            </w:r>
            <w:r w:rsidRPr="00C427B5">
              <w:rPr>
                <w:rFonts w:ascii="Arial" w:hAnsi="Arial" w:cs="Arial"/>
                <w:sz w:val="20"/>
                <w:szCs w:val="20"/>
                <w:lang w:val="es-ES"/>
              </w:rPr>
              <w:t xml:space="preserve">Resolución </w:t>
            </w:r>
            <w:r w:rsidRPr="00C427B5">
              <w:rPr>
                <w:rFonts w:ascii="Arial" w:hAnsi="Arial" w:cs="Arial"/>
                <w:color w:val="000000"/>
                <w:sz w:val="20"/>
                <w:szCs w:val="20"/>
              </w:rPr>
              <w:t>resolución 047-2015-F de 5 de marzo de 2015.</w:t>
            </w:r>
          </w:p>
        </w:tc>
      </w:tr>
      <w:tr w:rsidR="004E7BA5" w:rsidRPr="00C427B5" w:rsidTr="00C427B5">
        <w:trPr>
          <w:trHeight w:val="799"/>
          <w:tblCellSpacing w:w="20" w:type="dxa"/>
        </w:trPr>
        <w:tc>
          <w:tcPr>
            <w:tcW w:w="2385" w:type="pct"/>
            <w:gridSpan w:val="3"/>
            <w:shd w:val="clear" w:color="auto" w:fill="C6D9F1"/>
            <w:vAlign w:val="center"/>
            <w:hideMark/>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FECHA DE ELABORACIÓN DE LA FICHA METODOLÓGICA</w:t>
            </w:r>
          </w:p>
        </w:tc>
        <w:tc>
          <w:tcPr>
            <w:tcW w:w="2560" w:type="pct"/>
            <w:gridSpan w:val="2"/>
            <w:shd w:val="clear" w:color="auto" w:fill="auto"/>
            <w:vAlign w:val="center"/>
            <w:hideMark/>
          </w:tcPr>
          <w:p w:rsidR="004E7BA5" w:rsidRPr="00C427B5" w:rsidRDefault="003745D3" w:rsidP="003745D3">
            <w:pPr>
              <w:jc w:val="both"/>
              <w:rPr>
                <w:rFonts w:ascii="Arial" w:eastAsia="Times New Roman" w:hAnsi="Arial" w:cs="Arial"/>
                <w:color w:val="000000"/>
                <w:sz w:val="20"/>
                <w:szCs w:val="20"/>
              </w:rPr>
            </w:pPr>
            <w:r w:rsidRPr="00C427B5">
              <w:rPr>
                <w:rFonts w:ascii="Arial" w:eastAsia="Times New Roman" w:hAnsi="Arial" w:cs="Arial"/>
                <w:color w:val="000000"/>
                <w:sz w:val="20"/>
                <w:szCs w:val="20"/>
              </w:rPr>
              <w:t>13/</w:t>
            </w:r>
            <w:r w:rsidR="000752AE" w:rsidRPr="00C427B5">
              <w:rPr>
                <w:rFonts w:ascii="Arial" w:eastAsia="Times New Roman" w:hAnsi="Arial" w:cs="Arial"/>
                <w:color w:val="000000"/>
                <w:sz w:val="20"/>
                <w:szCs w:val="20"/>
              </w:rPr>
              <w:t>10</w:t>
            </w:r>
            <w:r w:rsidRPr="00C427B5">
              <w:rPr>
                <w:rFonts w:ascii="Arial" w:eastAsia="Times New Roman" w:hAnsi="Arial" w:cs="Arial"/>
                <w:color w:val="000000"/>
                <w:sz w:val="20"/>
                <w:szCs w:val="20"/>
              </w:rPr>
              <w:t>/</w:t>
            </w:r>
            <w:r w:rsidR="000752AE" w:rsidRPr="00C427B5">
              <w:rPr>
                <w:rFonts w:ascii="Arial" w:eastAsia="Times New Roman" w:hAnsi="Arial" w:cs="Arial"/>
                <w:color w:val="000000"/>
                <w:sz w:val="20"/>
                <w:szCs w:val="20"/>
              </w:rPr>
              <w:t>2016</w:t>
            </w:r>
          </w:p>
        </w:tc>
      </w:tr>
      <w:tr w:rsidR="004E7BA5" w:rsidRPr="00C427B5" w:rsidTr="00C427B5">
        <w:trPr>
          <w:trHeight w:val="781"/>
          <w:tblCellSpacing w:w="20" w:type="dxa"/>
        </w:trPr>
        <w:tc>
          <w:tcPr>
            <w:tcW w:w="2385" w:type="pct"/>
            <w:gridSpan w:val="3"/>
            <w:shd w:val="clear" w:color="auto" w:fill="C6D9F1"/>
            <w:vAlign w:val="center"/>
            <w:hideMark/>
          </w:tcPr>
          <w:p w:rsidR="004E7BA5" w:rsidRPr="00C427B5" w:rsidRDefault="004E7BA5" w:rsidP="00004233">
            <w:pPr>
              <w:rPr>
                <w:rFonts w:ascii="Arial" w:eastAsia="Times New Roman" w:hAnsi="Arial" w:cs="Arial"/>
                <w:b/>
                <w:bCs/>
                <w:sz w:val="20"/>
                <w:szCs w:val="20"/>
              </w:rPr>
            </w:pPr>
            <w:r w:rsidRPr="00C427B5">
              <w:rPr>
                <w:rFonts w:ascii="Arial" w:eastAsia="Times New Roman" w:hAnsi="Arial" w:cs="Arial"/>
                <w:b/>
                <w:bCs/>
                <w:sz w:val="20"/>
                <w:szCs w:val="20"/>
              </w:rPr>
              <w:t>FECHA DE LA ÚLTIMA ACTUALIZACIÓN DE LA FICHA</w:t>
            </w:r>
          </w:p>
        </w:tc>
        <w:tc>
          <w:tcPr>
            <w:tcW w:w="2560" w:type="pct"/>
            <w:gridSpan w:val="2"/>
            <w:shd w:val="clear" w:color="auto" w:fill="auto"/>
            <w:vAlign w:val="center"/>
            <w:hideMark/>
          </w:tcPr>
          <w:p w:rsidR="004E7BA5" w:rsidRPr="00C427B5" w:rsidRDefault="009B47F0" w:rsidP="009B47F0">
            <w:pPr>
              <w:jc w:val="both"/>
              <w:rPr>
                <w:rFonts w:ascii="Arial" w:eastAsia="Times New Roman" w:hAnsi="Arial" w:cs="Arial"/>
                <w:color w:val="000000"/>
                <w:sz w:val="20"/>
                <w:szCs w:val="20"/>
              </w:rPr>
            </w:pPr>
            <w:r w:rsidRPr="00C427B5">
              <w:rPr>
                <w:rFonts w:ascii="Arial" w:eastAsia="Times New Roman" w:hAnsi="Arial" w:cs="Arial"/>
                <w:color w:val="000000"/>
                <w:sz w:val="20"/>
                <w:szCs w:val="20"/>
              </w:rPr>
              <w:t>07</w:t>
            </w:r>
            <w:r w:rsidR="003745D3" w:rsidRPr="00C427B5">
              <w:rPr>
                <w:rFonts w:ascii="Arial" w:eastAsia="Times New Roman" w:hAnsi="Arial" w:cs="Arial"/>
                <w:color w:val="000000"/>
                <w:sz w:val="20"/>
                <w:szCs w:val="20"/>
              </w:rPr>
              <w:t>/</w:t>
            </w:r>
            <w:r w:rsidRPr="00C427B5">
              <w:rPr>
                <w:rFonts w:ascii="Arial" w:eastAsia="Times New Roman" w:hAnsi="Arial" w:cs="Arial"/>
                <w:color w:val="000000"/>
                <w:sz w:val="20"/>
                <w:szCs w:val="20"/>
              </w:rPr>
              <w:t>11</w:t>
            </w:r>
            <w:r w:rsidR="003745D3" w:rsidRPr="00C427B5">
              <w:rPr>
                <w:rFonts w:ascii="Arial" w:eastAsia="Times New Roman" w:hAnsi="Arial" w:cs="Arial"/>
                <w:color w:val="000000"/>
                <w:sz w:val="20"/>
                <w:szCs w:val="20"/>
              </w:rPr>
              <w:t>/2016</w:t>
            </w:r>
          </w:p>
        </w:tc>
      </w:tr>
      <w:tr w:rsidR="005953B0" w:rsidRPr="00C427B5" w:rsidTr="00C427B5">
        <w:trPr>
          <w:trHeight w:val="591"/>
          <w:tblCellSpacing w:w="20" w:type="dxa"/>
        </w:trPr>
        <w:tc>
          <w:tcPr>
            <w:tcW w:w="2385" w:type="pct"/>
            <w:gridSpan w:val="3"/>
            <w:shd w:val="clear" w:color="auto" w:fill="C6D9F1"/>
            <w:vAlign w:val="center"/>
          </w:tcPr>
          <w:p w:rsidR="005953B0" w:rsidRPr="00C427B5" w:rsidRDefault="00E326FC" w:rsidP="00E326FC">
            <w:pPr>
              <w:rPr>
                <w:rFonts w:ascii="Arial" w:eastAsia="Times New Roman" w:hAnsi="Arial" w:cs="Arial"/>
                <w:b/>
                <w:bCs/>
                <w:sz w:val="20"/>
                <w:szCs w:val="20"/>
                <w:lang w:val="es-ES"/>
              </w:rPr>
            </w:pPr>
            <w:r w:rsidRPr="00C427B5">
              <w:rPr>
                <w:rFonts w:ascii="Arial" w:eastAsia="Times New Roman" w:hAnsi="Arial" w:cs="Arial"/>
                <w:b/>
                <w:bCs/>
                <w:sz w:val="20"/>
                <w:szCs w:val="20"/>
                <w:lang w:val="es-ES"/>
              </w:rPr>
              <w:t>CLASIFICADOR TEMÁTICO ESTADISTICO</w:t>
            </w:r>
          </w:p>
        </w:tc>
        <w:tc>
          <w:tcPr>
            <w:tcW w:w="1256" w:type="pct"/>
            <w:shd w:val="clear" w:color="auto" w:fill="auto"/>
            <w:vAlign w:val="center"/>
          </w:tcPr>
          <w:p w:rsidR="005953B0" w:rsidRPr="00C427B5" w:rsidRDefault="002F5459" w:rsidP="0018362F">
            <w:pPr>
              <w:rPr>
                <w:rFonts w:ascii="Arial" w:eastAsia="Times New Roman" w:hAnsi="Arial" w:cs="Arial"/>
                <w:color w:val="000000"/>
                <w:sz w:val="20"/>
                <w:szCs w:val="20"/>
              </w:rPr>
            </w:pPr>
            <w:r w:rsidRPr="00C427B5">
              <w:rPr>
                <w:rFonts w:ascii="Arial" w:eastAsia="Times New Roman" w:hAnsi="Arial" w:cs="Arial"/>
                <w:color w:val="000000"/>
                <w:sz w:val="20"/>
                <w:szCs w:val="20"/>
              </w:rPr>
              <w:t>2. Estadísticas Económicas</w:t>
            </w:r>
          </w:p>
        </w:tc>
        <w:tc>
          <w:tcPr>
            <w:tcW w:w="1286" w:type="pct"/>
            <w:shd w:val="clear" w:color="auto" w:fill="auto"/>
            <w:vAlign w:val="center"/>
          </w:tcPr>
          <w:p w:rsidR="005953B0" w:rsidRPr="00C427B5" w:rsidRDefault="002F5459" w:rsidP="003366DE">
            <w:pPr>
              <w:jc w:val="both"/>
              <w:rPr>
                <w:rFonts w:ascii="Arial" w:eastAsia="Times New Roman" w:hAnsi="Arial" w:cs="Arial"/>
                <w:color w:val="000000"/>
                <w:sz w:val="20"/>
                <w:szCs w:val="20"/>
              </w:rPr>
            </w:pPr>
            <w:r w:rsidRPr="00C427B5">
              <w:rPr>
                <w:rFonts w:ascii="Arial" w:eastAsia="Times New Roman" w:hAnsi="Arial" w:cs="Arial"/>
                <w:color w:val="000000"/>
                <w:sz w:val="20"/>
                <w:szCs w:val="20"/>
              </w:rPr>
              <w:t>2.4.6 Banca, seguros y estadísticas financieras</w:t>
            </w:r>
          </w:p>
        </w:tc>
      </w:tr>
      <w:tr w:rsidR="000752AE" w:rsidRPr="00C427B5" w:rsidTr="00C427B5">
        <w:trPr>
          <w:trHeight w:val="591"/>
          <w:tblCellSpacing w:w="20" w:type="dxa"/>
        </w:trPr>
        <w:tc>
          <w:tcPr>
            <w:tcW w:w="2385" w:type="pct"/>
            <w:gridSpan w:val="3"/>
            <w:shd w:val="clear" w:color="auto" w:fill="C6D9F1"/>
            <w:vAlign w:val="center"/>
          </w:tcPr>
          <w:p w:rsidR="000752AE" w:rsidRPr="00C427B5" w:rsidRDefault="000752AE" w:rsidP="00004233">
            <w:pPr>
              <w:rPr>
                <w:rFonts w:ascii="Arial" w:eastAsia="Times New Roman" w:hAnsi="Arial" w:cs="Arial"/>
                <w:b/>
                <w:bCs/>
                <w:sz w:val="20"/>
                <w:szCs w:val="20"/>
              </w:rPr>
            </w:pPr>
            <w:r w:rsidRPr="00C427B5">
              <w:rPr>
                <w:rFonts w:ascii="Arial" w:eastAsia="Times New Roman" w:hAnsi="Arial" w:cs="Arial"/>
                <w:b/>
                <w:bCs/>
                <w:sz w:val="20"/>
                <w:szCs w:val="20"/>
              </w:rPr>
              <w:t>ELABORADO POR</w:t>
            </w:r>
          </w:p>
        </w:tc>
        <w:tc>
          <w:tcPr>
            <w:tcW w:w="2560" w:type="pct"/>
            <w:gridSpan w:val="2"/>
            <w:shd w:val="clear" w:color="auto" w:fill="auto"/>
            <w:vAlign w:val="center"/>
          </w:tcPr>
          <w:p w:rsidR="000752AE" w:rsidRPr="00C427B5" w:rsidRDefault="003745D3" w:rsidP="003366DE">
            <w:pPr>
              <w:jc w:val="both"/>
              <w:rPr>
                <w:rFonts w:ascii="Arial" w:eastAsia="Times New Roman" w:hAnsi="Arial" w:cs="Arial"/>
                <w:color w:val="000000"/>
                <w:sz w:val="20"/>
                <w:szCs w:val="20"/>
              </w:rPr>
            </w:pPr>
            <w:r w:rsidRPr="00C427B5">
              <w:rPr>
                <w:rFonts w:ascii="Arial" w:eastAsia="Times New Roman" w:hAnsi="Arial" w:cs="Arial"/>
                <w:color w:val="000000"/>
                <w:sz w:val="20"/>
                <w:szCs w:val="20"/>
              </w:rPr>
              <w:t>Mesa Temática de Estadísticas Económicas</w:t>
            </w:r>
          </w:p>
          <w:p w:rsidR="003745D3" w:rsidRPr="00C427B5" w:rsidRDefault="00325DFD" w:rsidP="003366DE">
            <w:pPr>
              <w:jc w:val="both"/>
              <w:rPr>
                <w:rFonts w:ascii="Arial" w:eastAsia="Times New Roman" w:hAnsi="Arial" w:cs="Arial"/>
                <w:color w:val="000000"/>
                <w:sz w:val="20"/>
                <w:szCs w:val="20"/>
              </w:rPr>
            </w:pPr>
            <w:r>
              <w:rPr>
                <w:rFonts w:ascii="Arial" w:eastAsia="Times New Roman" w:hAnsi="Arial" w:cs="Arial"/>
                <w:color w:val="000000"/>
                <w:sz w:val="20"/>
                <w:szCs w:val="20"/>
              </w:rPr>
              <w:t xml:space="preserve">Responsable: </w:t>
            </w:r>
            <w:r w:rsidR="002F5459" w:rsidRPr="00C427B5">
              <w:rPr>
                <w:rFonts w:ascii="Arial" w:eastAsia="Times New Roman" w:hAnsi="Arial" w:cs="Arial"/>
                <w:color w:val="000000"/>
                <w:sz w:val="20"/>
                <w:szCs w:val="20"/>
              </w:rPr>
              <w:t xml:space="preserve">Superintendencia de Bancos – </w:t>
            </w:r>
            <w:r w:rsidR="002F5459" w:rsidRPr="00C427B5">
              <w:rPr>
                <w:rFonts w:ascii="Arial" w:eastAsia="Times New Roman" w:hAnsi="Arial" w:cs="Arial"/>
                <w:color w:val="000000"/>
                <w:sz w:val="20"/>
                <w:szCs w:val="20"/>
              </w:rPr>
              <w:lastRenderedPageBreak/>
              <w:t>Dirección Nacional de Estudios e Información</w:t>
            </w:r>
          </w:p>
        </w:tc>
      </w:tr>
      <w:tr w:rsidR="000752AE" w:rsidRPr="00C427B5" w:rsidTr="00C427B5">
        <w:trPr>
          <w:trHeight w:val="513"/>
          <w:tblCellSpacing w:w="20" w:type="dxa"/>
        </w:trPr>
        <w:tc>
          <w:tcPr>
            <w:tcW w:w="4964" w:type="pct"/>
            <w:gridSpan w:val="5"/>
            <w:shd w:val="clear" w:color="auto" w:fill="548DD4" w:themeFill="text2" w:themeFillTint="99"/>
            <w:vAlign w:val="center"/>
          </w:tcPr>
          <w:p w:rsidR="000752AE" w:rsidRPr="00C427B5" w:rsidRDefault="000752AE" w:rsidP="000320E4">
            <w:pPr>
              <w:spacing w:after="0"/>
              <w:jc w:val="center"/>
              <w:rPr>
                <w:rFonts w:ascii="Arial" w:eastAsia="Times New Roman" w:hAnsi="Arial" w:cs="Arial"/>
                <w:b/>
                <w:bCs/>
                <w:sz w:val="20"/>
                <w:szCs w:val="20"/>
              </w:rPr>
            </w:pPr>
            <w:r w:rsidRPr="00C427B5">
              <w:rPr>
                <w:rFonts w:ascii="Arial" w:eastAsia="Times New Roman" w:hAnsi="Arial" w:cs="Arial"/>
                <w:b/>
                <w:bCs/>
                <w:sz w:val="20"/>
                <w:szCs w:val="20"/>
              </w:rPr>
              <w:lastRenderedPageBreak/>
              <w:t>ANEXOS</w:t>
            </w:r>
          </w:p>
        </w:tc>
      </w:tr>
      <w:tr w:rsidR="000752AE" w:rsidRPr="00C427B5" w:rsidTr="00325DFD">
        <w:trPr>
          <w:trHeight w:val="513"/>
          <w:tblCellSpacing w:w="20" w:type="dxa"/>
        </w:trPr>
        <w:tc>
          <w:tcPr>
            <w:tcW w:w="4964" w:type="pct"/>
            <w:gridSpan w:val="5"/>
            <w:shd w:val="clear" w:color="auto" w:fill="auto"/>
            <w:vAlign w:val="center"/>
          </w:tcPr>
          <w:p w:rsidR="00677235" w:rsidRPr="00C427B5" w:rsidRDefault="00677235" w:rsidP="000320E4">
            <w:pPr>
              <w:spacing w:after="0"/>
              <w:jc w:val="center"/>
              <w:rPr>
                <w:rFonts w:ascii="Arial" w:hAnsi="Arial" w:cs="Arial"/>
                <w:sz w:val="20"/>
                <w:szCs w:val="20"/>
              </w:rPr>
            </w:pPr>
            <w:r w:rsidRPr="00C427B5">
              <w:rPr>
                <w:rFonts w:ascii="Arial" w:hAnsi="Arial" w:cs="Arial"/>
                <w:sz w:val="20"/>
                <w:szCs w:val="20"/>
              </w:rPr>
              <w:t xml:space="preserve">Norma </w:t>
            </w:r>
          </w:p>
          <w:p w:rsidR="000752AE" w:rsidRPr="00C427B5" w:rsidRDefault="004C7CC1" w:rsidP="000320E4">
            <w:pPr>
              <w:spacing w:after="0"/>
              <w:jc w:val="center"/>
              <w:rPr>
                <w:rFonts w:ascii="Arial" w:eastAsia="Times New Roman" w:hAnsi="Arial" w:cs="Arial"/>
                <w:b/>
                <w:bCs/>
                <w:sz w:val="20"/>
                <w:szCs w:val="20"/>
              </w:rPr>
            </w:pPr>
            <w:hyperlink r:id="rId9" w:history="1">
              <w:r w:rsidR="00677235" w:rsidRPr="00C427B5">
                <w:rPr>
                  <w:rStyle w:val="Hipervnculo"/>
                  <w:rFonts w:ascii="Arial" w:hAnsi="Arial" w:cs="Arial"/>
                  <w:sz w:val="20"/>
                  <w:szCs w:val="20"/>
                </w:rPr>
                <w:t>http://www.superbancos.gob.ec/medios/PORTALDOCS/downloads/normativa/nueva_codificacion/todos/L1_V_cap_I.pdf</w:t>
              </w:r>
            </w:hyperlink>
          </w:p>
        </w:tc>
      </w:tr>
      <w:tr w:rsidR="000752AE" w:rsidRPr="00C427B5" w:rsidTr="00C427B5">
        <w:trPr>
          <w:trHeight w:val="513"/>
          <w:tblCellSpacing w:w="20" w:type="dxa"/>
        </w:trPr>
        <w:tc>
          <w:tcPr>
            <w:tcW w:w="4964" w:type="pct"/>
            <w:gridSpan w:val="5"/>
            <w:shd w:val="clear" w:color="auto" w:fill="C6D9F1"/>
            <w:vAlign w:val="center"/>
            <w:hideMark/>
          </w:tcPr>
          <w:p w:rsidR="000752AE" w:rsidRPr="00C427B5" w:rsidRDefault="000752AE" w:rsidP="000320E4">
            <w:pPr>
              <w:spacing w:after="0"/>
              <w:jc w:val="center"/>
              <w:rPr>
                <w:rFonts w:ascii="Arial" w:eastAsia="Times New Roman" w:hAnsi="Arial" w:cs="Arial"/>
                <w:b/>
                <w:bCs/>
                <w:sz w:val="20"/>
                <w:szCs w:val="20"/>
              </w:rPr>
            </w:pPr>
            <w:r w:rsidRPr="00C427B5">
              <w:rPr>
                <w:rFonts w:ascii="Arial" w:eastAsia="Times New Roman" w:hAnsi="Arial" w:cs="Arial"/>
                <w:b/>
                <w:bCs/>
                <w:sz w:val="20"/>
                <w:szCs w:val="20"/>
              </w:rPr>
              <w:t>SINTAXIS</w:t>
            </w:r>
            <w:r w:rsidR="00026754" w:rsidRPr="00C427B5">
              <w:rPr>
                <w:rFonts w:ascii="Arial" w:eastAsia="Times New Roman" w:hAnsi="Arial" w:cs="Arial"/>
                <w:b/>
                <w:bCs/>
                <w:sz w:val="20"/>
                <w:szCs w:val="20"/>
              </w:rPr>
              <w:t xml:space="preserve">: </w:t>
            </w:r>
          </w:p>
          <w:p w:rsidR="00026754" w:rsidRPr="00C427B5" w:rsidRDefault="00026754" w:rsidP="00026754">
            <w:pPr>
              <w:jc w:val="both"/>
              <w:rPr>
                <w:rFonts w:ascii="Arial" w:hAnsi="Arial" w:cs="Arial"/>
                <w:sz w:val="20"/>
                <w:szCs w:val="20"/>
              </w:rPr>
            </w:pPr>
          </w:p>
        </w:tc>
      </w:tr>
      <w:tr w:rsidR="000752AE" w:rsidRPr="00C427B5" w:rsidTr="00C427B5">
        <w:trPr>
          <w:trHeight w:val="513"/>
          <w:tblCellSpacing w:w="20" w:type="dxa"/>
        </w:trPr>
        <w:tc>
          <w:tcPr>
            <w:tcW w:w="4964" w:type="pct"/>
            <w:gridSpan w:val="5"/>
            <w:tcBorders>
              <w:top w:val="outset" w:sz="6" w:space="0" w:color="auto"/>
              <w:bottom w:val="outset" w:sz="6" w:space="0" w:color="auto"/>
            </w:tcBorders>
            <w:shd w:val="clear" w:color="auto" w:fill="FFFFFF"/>
            <w:vAlign w:val="center"/>
          </w:tcPr>
          <w:p w:rsidR="000752AE" w:rsidRPr="00C427B5" w:rsidRDefault="000752AE" w:rsidP="00C26D32">
            <w:pPr>
              <w:spacing w:after="0"/>
              <w:rPr>
                <w:rFonts w:ascii="Arial" w:eastAsia="Times New Roman" w:hAnsi="Arial" w:cs="Arial"/>
                <w:sz w:val="20"/>
                <w:szCs w:val="20"/>
              </w:rPr>
            </w:pPr>
            <w:r w:rsidRPr="00C427B5">
              <w:rPr>
                <w:rFonts w:ascii="Arial" w:hAnsi="Arial" w:cs="Arial"/>
                <w:color w:val="000000"/>
                <w:sz w:val="20"/>
                <w:szCs w:val="20"/>
              </w:rPr>
              <w:t xml:space="preserve">  </w:t>
            </w:r>
            <w:r w:rsidRPr="00C427B5">
              <w:rPr>
                <w:rFonts w:ascii="Arial" w:eastAsia="Times New Roman" w:hAnsi="Arial" w:cs="Arial"/>
                <w:sz w:val="20"/>
                <w:szCs w:val="20"/>
              </w:rPr>
              <w:t xml:space="preserve"> </w:t>
            </w:r>
          </w:p>
        </w:tc>
      </w:tr>
    </w:tbl>
    <w:p w:rsidR="00D055E1" w:rsidRPr="002C33F2" w:rsidRDefault="00D055E1" w:rsidP="00436813">
      <w:pPr>
        <w:rPr>
          <w:rFonts w:asciiTheme="minorHAnsi" w:hAnsiTheme="minorHAnsi" w:cs="Arial"/>
          <w:sz w:val="20"/>
          <w:szCs w:val="20"/>
          <w:lang w:val="es-ES"/>
        </w:rPr>
      </w:pPr>
    </w:p>
    <w:sectPr w:rsidR="00D055E1" w:rsidRPr="002C33F2" w:rsidSect="009B1DB6">
      <w:headerReference w:type="default" r:id="rId10"/>
      <w:footerReference w:type="default" r:id="rId11"/>
      <w:pgSz w:w="12240" w:h="15840"/>
      <w:pgMar w:top="1418" w:right="1701"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CC1" w:rsidRDefault="004C7CC1" w:rsidP="00004233">
      <w:pPr>
        <w:spacing w:after="0" w:line="240" w:lineRule="auto"/>
      </w:pPr>
      <w:r>
        <w:separator/>
      </w:r>
    </w:p>
  </w:endnote>
  <w:endnote w:type="continuationSeparator" w:id="0">
    <w:p w:rsidR="004C7CC1" w:rsidRDefault="004C7CC1" w:rsidP="00004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699044"/>
      <w:docPartObj>
        <w:docPartGallery w:val="Page Numbers (Bottom of Page)"/>
        <w:docPartUnique/>
      </w:docPartObj>
    </w:sdtPr>
    <w:sdtEndPr/>
    <w:sdtContent>
      <w:p w:rsidR="00041571" w:rsidRDefault="00041571">
        <w:pPr>
          <w:pStyle w:val="Piedepgina"/>
          <w:jc w:val="center"/>
        </w:pPr>
        <w:r>
          <w:fldChar w:fldCharType="begin"/>
        </w:r>
        <w:r>
          <w:instrText>PAGE   \* MERGEFORMAT</w:instrText>
        </w:r>
        <w:r>
          <w:fldChar w:fldCharType="separate"/>
        </w:r>
        <w:r w:rsidR="00FE2764" w:rsidRPr="00FE2764">
          <w:rPr>
            <w:noProof/>
            <w:lang w:val="es-ES"/>
          </w:rPr>
          <w:t>3</w:t>
        </w:r>
        <w:r>
          <w:fldChar w:fldCharType="end"/>
        </w:r>
      </w:p>
    </w:sdtContent>
  </w:sdt>
  <w:p w:rsidR="00041571" w:rsidRDefault="000415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CC1" w:rsidRDefault="004C7CC1" w:rsidP="00004233">
      <w:pPr>
        <w:spacing w:after="0" w:line="240" w:lineRule="auto"/>
      </w:pPr>
      <w:r>
        <w:separator/>
      </w:r>
    </w:p>
  </w:footnote>
  <w:footnote w:type="continuationSeparator" w:id="0">
    <w:p w:rsidR="004C7CC1" w:rsidRDefault="004C7CC1" w:rsidP="00004233">
      <w:pPr>
        <w:spacing w:after="0" w:line="240" w:lineRule="auto"/>
      </w:pPr>
      <w:r>
        <w:continuationSeparator/>
      </w:r>
    </w:p>
  </w:footnote>
  <w:footnote w:id="1">
    <w:p w:rsidR="00387A9E" w:rsidRPr="00387A9E" w:rsidRDefault="00387A9E" w:rsidP="00387A9E">
      <w:pPr>
        <w:autoSpaceDE w:val="0"/>
        <w:autoSpaceDN w:val="0"/>
        <w:adjustRightInd w:val="0"/>
        <w:spacing w:after="0" w:line="240" w:lineRule="auto"/>
        <w:jc w:val="both"/>
        <w:rPr>
          <w:rFonts w:ascii="Arial" w:hAnsi="Arial" w:cs="Arial"/>
          <w:iCs/>
          <w:color w:val="000000"/>
          <w:sz w:val="16"/>
          <w:szCs w:val="16"/>
          <w:lang w:eastAsia="en-US"/>
        </w:rPr>
      </w:pPr>
      <w:r w:rsidRPr="00387A9E">
        <w:rPr>
          <w:rStyle w:val="Refdenotaalpie"/>
          <w:sz w:val="16"/>
          <w:szCs w:val="16"/>
        </w:rPr>
        <w:footnoteRef/>
      </w:r>
      <w:r w:rsidRPr="00387A9E">
        <w:rPr>
          <w:sz w:val="16"/>
          <w:szCs w:val="16"/>
        </w:rPr>
        <w:t xml:space="preserve"> </w:t>
      </w:r>
      <w:r w:rsidRPr="00387A9E">
        <w:rPr>
          <w:rFonts w:ascii="Arial" w:hAnsi="Arial" w:cs="Arial"/>
          <w:iCs/>
          <w:color w:val="000000"/>
          <w:sz w:val="16"/>
          <w:szCs w:val="16"/>
          <w:lang w:eastAsia="en-US"/>
        </w:rPr>
        <w:t>Indicadores de solidez financiera: Guía de compilación—Washington, D.C</w:t>
      </w:r>
      <w:proofErr w:type="gramStart"/>
      <w:r w:rsidRPr="00387A9E">
        <w:rPr>
          <w:rFonts w:ascii="Arial" w:hAnsi="Arial" w:cs="Arial"/>
          <w:iCs/>
          <w:color w:val="000000"/>
          <w:sz w:val="16"/>
          <w:szCs w:val="16"/>
          <w:lang w:eastAsia="en-US"/>
        </w:rPr>
        <w:t>. :</w:t>
      </w:r>
      <w:proofErr w:type="gramEnd"/>
      <w:r w:rsidRPr="00387A9E">
        <w:rPr>
          <w:rFonts w:ascii="Arial" w:hAnsi="Arial" w:cs="Arial"/>
          <w:iCs/>
          <w:color w:val="000000"/>
          <w:sz w:val="16"/>
          <w:szCs w:val="16"/>
          <w:lang w:eastAsia="en-US"/>
        </w:rPr>
        <w:t xml:space="preserve"> Fondo Monetario Internacional, 2006.</w:t>
      </w:r>
      <w:r>
        <w:rPr>
          <w:rFonts w:ascii="Arial" w:hAnsi="Arial" w:cs="Arial"/>
          <w:iCs/>
          <w:color w:val="000000"/>
          <w:sz w:val="16"/>
          <w:szCs w:val="16"/>
          <w:lang w:eastAsia="en-US"/>
        </w:rPr>
        <w:t xml:space="preserve"> 6.17, 6.18, 6.19 página 81.</w:t>
      </w:r>
    </w:p>
    <w:p w:rsidR="00387A9E" w:rsidRDefault="00387A9E">
      <w:pPr>
        <w:pStyle w:val="Textonotapie"/>
      </w:pPr>
    </w:p>
  </w:footnote>
  <w:footnote w:id="2">
    <w:p w:rsidR="0018362F" w:rsidRDefault="00C427B5" w:rsidP="00C427B5">
      <w:pPr>
        <w:jc w:val="both"/>
        <w:rPr>
          <w:rFonts w:ascii="Arial" w:hAnsi="Arial" w:cs="Arial"/>
          <w:sz w:val="16"/>
          <w:szCs w:val="16"/>
          <w:lang w:val="es-ES_tradnl"/>
        </w:rPr>
      </w:pPr>
      <w:r>
        <w:rPr>
          <w:rStyle w:val="Refdenotaalpie"/>
        </w:rPr>
        <w:footnoteRef/>
      </w:r>
      <w:r>
        <w:t xml:space="preserve"> </w:t>
      </w:r>
      <w:r w:rsidRPr="00C427B5">
        <w:rPr>
          <w:rFonts w:ascii="Arial" w:hAnsi="Arial" w:cs="Arial"/>
          <w:sz w:val="16"/>
          <w:szCs w:val="16"/>
          <w:lang w:val="es-ES_tradnl"/>
        </w:rPr>
        <w:t xml:space="preserve">La norma </w:t>
      </w:r>
      <w:proofErr w:type="spellStart"/>
      <w:r w:rsidRPr="00C427B5">
        <w:rPr>
          <w:rFonts w:ascii="Arial" w:hAnsi="Arial" w:cs="Arial"/>
          <w:sz w:val="16"/>
          <w:szCs w:val="16"/>
          <w:lang w:val="es-ES_tradnl"/>
        </w:rPr>
        <w:t>pruedencial</w:t>
      </w:r>
      <w:proofErr w:type="spellEnd"/>
      <w:r w:rsidRPr="00C427B5">
        <w:rPr>
          <w:rFonts w:ascii="Arial" w:hAnsi="Arial" w:cs="Arial"/>
          <w:sz w:val="16"/>
          <w:szCs w:val="16"/>
          <w:lang w:val="es-ES_tradnl"/>
        </w:rPr>
        <w:t xml:space="preserve"> que corresponde a este concepto consta en el artículo 190 del Código Orgánico Monetario y Financiero del Ecuador:</w:t>
      </w:r>
    </w:p>
    <w:p w:rsidR="00C427B5" w:rsidRPr="00C427B5" w:rsidRDefault="00C427B5" w:rsidP="0018362F">
      <w:pPr>
        <w:spacing w:after="0"/>
        <w:jc w:val="both"/>
        <w:rPr>
          <w:rFonts w:ascii="Arial" w:hAnsi="Arial" w:cs="Arial"/>
          <w:sz w:val="16"/>
          <w:szCs w:val="16"/>
          <w:lang w:val="es-ES_tradnl"/>
        </w:rPr>
      </w:pPr>
      <w:r w:rsidRPr="00C427B5">
        <w:rPr>
          <w:rFonts w:ascii="Arial" w:hAnsi="Arial" w:cs="Arial"/>
          <w:sz w:val="16"/>
          <w:szCs w:val="16"/>
          <w:lang w:val="es-ES_tradnl"/>
        </w:rPr>
        <w:t>“…</w:t>
      </w:r>
      <w:r w:rsidRPr="00C427B5">
        <w:rPr>
          <w:rFonts w:ascii="Arial" w:hAnsi="Arial" w:cs="Arial"/>
          <w:i/>
          <w:sz w:val="16"/>
          <w:szCs w:val="16"/>
          <w:lang w:val="es-ES_tradnl"/>
        </w:rPr>
        <w:t>las entidades del sistema financiero deberán mantener la suficiencia patrimonial para respaldar las operaciones actuales y futuras de la entidad, para cubrir las pérdidas no protegidas por las provisiones de los activos de riesgo y para apuntalar el adecuado desempeño macroeconómico...”</w:t>
      </w:r>
      <w:r w:rsidRPr="00C427B5">
        <w:rPr>
          <w:rFonts w:ascii="Arial" w:hAnsi="Arial" w:cs="Arial"/>
          <w:b/>
          <w:i/>
          <w:sz w:val="16"/>
          <w:szCs w:val="16"/>
          <w:lang w:val="es-ES_tradnl"/>
        </w:rPr>
        <w:t>“Las entidades de los sectores financieros público y privado nacionales, de forma individual, y los grupos financieros, sobre la base de los estados financieros consolidados y/o combinados, están obligados a mantener en todo tiempo una relación entre su patrimonio técnico y la suma ponderada por riesgo de sus activos y contingentes no inferior al 9%.”</w:t>
      </w:r>
      <w:r>
        <w:rPr>
          <w:rFonts w:ascii="Arial" w:hAnsi="Arial" w:cs="Arial"/>
          <w:b/>
          <w:i/>
          <w:sz w:val="16"/>
          <w:szCs w:val="16"/>
          <w:lang w:val="es-ES_tradnl"/>
        </w:rPr>
        <w:t xml:space="preserve"> </w:t>
      </w:r>
      <w:r w:rsidRPr="00C427B5">
        <w:rPr>
          <w:rFonts w:ascii="Arial" w:hAnsi="Arial" w:cs="Arial"/>
          <w:sz w:val="16"/>
          <w:szCs w:val="16"/>
          <w:lang w:val="es-ES_tradnl"/>
        </w:rPr>
        <w:t>La Junta de Regulación Monetaria y Financiera podrá fijar porcentajes de solvencia por sobre los mínimos dispuestos en el artículo 190 del COMF y según el artículo 14 del COMF numeral 15 puede emitir el marco regulatorio de solvencia de las entidades financieras.</w:t>
      </w:r>
    </w:p>
  </w:footnote>
  <w:footnote w:id="3">
    <w:p w:rsidR="00325DFD" w:rsidRPr="00325DFD" w:rsidRDefault="00325DFD">
      <w:pPr>
        <w:pStyle w:val="Textonotapie"/>
        <w:rPr>
          <w:lang w:val="es-ES"/>
        </w:rPr>
      </w:pPr>
      <w:r>
        <w:rPr>
          <w:rStyle w:val="Refdenotaalpie"/>
        </w:rPr>
        <w:footnoteRef/>
      </w:r>
      <w:r>
        <w:t xml:space="preserve"> </w:t>
      </w:r>
      <w:r w:rsidRPr="00FF4473">
        <w:rPr>
          <w:rFonts w:ascii="Arial" w:hAnsi="Arial" w:cs="Arial"/>
          <w:sz w:val="16"/>
          <w:szCs w:val="16"/>
        </w:rPr>
        <w:t>A nivel nacional (Instituciones financieras bajo el control de la Superintendencia de Bancos).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B8" w:rsidRDefault="00965CB8" w:rsidP="00C761BA">
    <w:pPr>
      <w:pStyle w:val="Encabezado"/>
      <w:tabs>
        <w:tab w:val="clear" w:pos="8838"/>
        <w:tab w:val="right" w:pos="10632"/>
      </w:tabs>
      <w:ind w:left="-1701" w:right="-16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FC1"/>
    <w:multiLevelType w:val="hybridMultilevel"/>
    <w:tmpl w:val="98CE7E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717933"/>
    <w:multiLevelType w:val="hybridMultilevel"/>
    <w:tmpl w:val="FD180D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9847E6"/>
    <w:multiLevelType w:val="hybridMultilevel"/>
    <w:tmpl w:val="11C069A4"/>
    <w:lvl w:ilvl="0" w:tplc="300A000F">
      <w:start w:val="1"/>
      <w:numFmt w:val="decimal"/>
      <w:lvlText w:val="%1."/>
      <w:lvlJc w:val="left"/>
      <w:pPr>
        <w:ind w:left="720" w:hanging="360"/>
      </w:pPr>
      <w:rPr>
        <w:rFonts w:eastAsia="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102B729D"/>
    <w:multiLevelType w:val="hybridMultilevel"/>
    <w:tmpl w:val="844278C2"/>
    <w:lvl w:ilvl="0" w:tplc="300A0019">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4">
    <w:nsid w:val="10B80A65"/>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61A1955"/>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9895E60"/>
    <w:multiLevelType w:val="hybridMultilevel"/>
    <w:tmpl w:val="CBFC141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1D7E2657"/>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232B576B"/>
    <w:multiLevelType w:val="hybridMultilevel"/>
    <w:tmpl w:val="E9922EE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9">
    <w:nsid w:val="2ED37E69"/>
    <w:multiLevelType w:val="hybridMultilevel"/>
    <w:tmpl w:val="F5E0430A"/>
    <w:lvl w:ilvl="0" w:tplc="D28E0C80">
      <w:start w:val="10"/>
      <w:numFmt w:val="bullet"/>
      <w:lvlText w:val=""/>
      <w:lvlJc w:val="left"/>
      <w:pPr>
        <w:ind w:left="360" w:hanging="360"/>
      </w:pPr>
      <w:rPr>
        <w:rFonts w:ascii="Symbol" w:eastAsia="Calibri" w:hAnsi="Symbol" w:cs="Aria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303E05A8"/>
    <w:multiLevelType w:val="hybridMultilevel"/>
    <w:tmpl w:val="464899F2"/>
    <w:lvl w:ilvl="0" w:tplc="5ABC5AD6">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304052FE"/>
    <w:multiLevelType w:val="hybridMultilevel"/>
    <w:tmpl w:val="398031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0ED37B2"/>
    <w:multiLevelType w:val="hybridMultilevel"/>
    <w:tmpl w:val="C0E83C4C"/>
    <w:lvl w:ilvl="0" w:tplc="E050DA46">
      <w:start w:val="2"/>
      <w:numFmt w:val="lowerLetter"/>
      <w:lvlText w:val="%1)"/>
      <w:lvlJc w:val="left"/>
      <w:pPr>
        <w:ind w:left="144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32965621"/>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34C057DF"/>
    <w:multiLevelType w:val="hybridMultilevel"/>
    <w:tmpl w:val="7A36DC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A4D6672"/>
    <w:multiLevelType w:val="hybridMultilevel"/>
    <w:tmpl w:val="7B583D14"/>
    <w:lvl w:ilvl="0" w:tplc="300A000F">
      <w:start w:val="1"/>
      <w:numFmt w:val="decimal"/>
      <w:lvlText w:val="%1."/>
      <w:lvlJc w:val="left"/>
      <w:pPr>
        <w:ind w:left="720" w:hanging="360"/>
      </w:pPr>
      <w:rPr>
        <w:rFonts w:hint="default"/>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3A6D35C2"/>
    <w:multiLevelType w:val="hybridMultilevel"/>
    <w:tmpl w:val="02D26F56"/>
    <w:lvl w:ilvl="0" w:tplc="300A000F">
      <w:start w:val="1"/>
      <w:numFmt w:val="decimal"/>
      <w:lvlText w:val="%1."/>
      <w:lvlJc w:val="left"/>
      <w:pPr>
        <w:ind w:left="783" w:hanging="360"/>
      </w:pPr>
    </w:lvl>
    <w:lvl w:ilvl="1" w:tplc="300A0019" w:tentative="1">
      <w:start w:val="1"/>
      <w:numFmt w:val="lowerLetter"/>
      <w:lvlText w:val="%2."/>
      <w:lvlJc w:val="left"/>
      <w:pPr>
        <w:ind w:left="1503" w:hanging="360"/>
      </w:pPr>
    </w:lvl>
    <w:lvl w:ilvl="2" w:tplc="300A001B" w:tentative="1">
      <w:start w:val="1"/>
      <w:numFmt w:val="lowerRoman"/>
      <w:lvlText w:val="%3."/>
      <w:lvlJc w:val="right"/>
      <w:pPr>
        <w:ind w:left="2223" w:hanging="180"/>
      </w:pPr>
    </w:lvl>
    <w:lvl w:ilvl="3" w:tplc="300A000F" w:tentative="1">
      <w:start w:val="1"/>
      <w:numFmt w:val="decimal"/>
      <w:lvlText w:val="%4."/>
      <w:lvlJc w:val="left"/>
      <w:pPr>
        <w:ind w:left="2943" w:hanging="360"/>
      </w:pPr>
    </w:lvl>
    <w:lvl w:ilvl="4" w:tplc="300A0019" w:tentative="1">
      <w:start w:val="1"/>
      <w:numFmt w:val="lowerLetter"/>
      <w:lvlText w:val="%5."/>
      <w:lvlJc w:val="left"/>
      <w:pPr>
        <w:ind w:left="3663" w:hanging="360"/>
      </w:pPr>
    </w:lvl>
    <w:lvl w:ilvl="5" w:tplc="300A001B" w:tentative="1">
      <w:start w:val="1"/>
      <w:numFmt w:val="lowerRoman"/>
      <w:lvlText w:val="%6."/>
      <w:lvlJc w:val="right"/>
      <w:pPr>
        <w:ind w:left="4383" w:hanging="180"/>
      </w:pPr>
    </w:lvl>
    <w:lvl w:ilvl="6" w:tplc="300A000F" w:tentative="1">
      <w:start w:val="1"/>
      <w:numFmt w:val="decimal"/>
      <w:lvlText w:val="%7."/>
      <w:lvlJc w:val="left"/>
      <w:pPr>
        <w:ind w:left="5103" w:hanging="360"/>
      </w:pPr>
    </w:lvl>
    <w:lvl w:ilvl="7" w:tplc="300A0019" w:tentative="1">
      <w:start w:val="1"/>
      <w:numFmt w:val="lowerLetter"/>
      <w:lvlText w:val="%8."/>
      <w:lvlJc w:val="left"/>
      <w:pPr>
        <w:ind w:left="5823" w:hanging="360"/>
      </w:pPr>
    </w:lvl>
    <w:lvl w:ilvl="8" w:tplc="300A001B" w:tentative="1">
      <w:start w:val="1"/>
      <w:numFmt w:val="lowerRoman"/>
      <w:lvlText w:val="%9."/>
      <w:lvlJc w:val="right"/>
      <w:pPr>
        <w:ind w:left="6543" w:hanging="180"/>
      </w:pPr>
    </w:lvl>
  </w:abstractNum>
  <w:abstractNum w:abstractNumId="17">
    <w:nsid w:val="41D82C41"/>
    <w:multiLevelType w:val="hybridMultilevel"/>
    <w:tmpl w:val="DE9EEC3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4E8B6F0E"/>
    <w:multiLevelType w:val="hybridMultilevel"/>
    <w:tmpl w:val="A31CF408"/>
    <w:lvl w:ilvl="0" w:tplc="A42E133E">
      <w:start w:val="10"/>
      <w:numFmt w:val="bullet"/>
      <w:lvlText w:val=""/>
      <w:lvlJc w:val="left"/>
      <w:pPr>
        <w:ind w:left="360" w:hanging="360"/>
      </w:pPr>
      <w:rPr>
        <w:rFonts w:ascii="Symbol" w:eastAsia="Calibri" w:hAnsi="Symbol" w:cs="Arial" w:hint="default"/>
        <w:b/>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5481292C"/>
    <w:multiLevelType w:val="hybridMultilevel"/>
    <w:tmpl w:val="6D7458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578B2CD1"/>
    <w:multiLevelType w:val="hybridMultilevel"/>
    <w:tmpl w:val="BEC4FF34"/>
    <w:lvl w:ilvl="0" w:tplc="09A0C3D0">
      <w:start w:val="10"/>
      <w:numFmt w:val="bullet"/>
      <w:lvlText w:val=""/>
      <w:lvlJc w:val="left"/>
      <w:pPr>
        <w:ind w:left="360" w:hanging="360"/>
      </w:pPr>
      <w:rPr>
        <w:rFonts w:ascii="Symbol" w:eastAsia="Calibri" w:hAnsi="Symbol" w:cs="Arial" w:hint="default"/>
        <w:b/>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5F934D49"/>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nsid w:val="5FED4714"/>
    <w:multiLevelType w:val="hybridMultilevel"/>
    <w:tmpl w:val="B8E4B5D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3">
    <w:nsid w:val="643047BB"/>
    <w:multiLevelType w:val="hybridMultilevel"/>
    <w:tmpl w:val="3508E4DA"/>
    <w:lvl w:ilvl="0" w:tplc="AD26283C">
      <w:start w:val="1"/>
      <w:numFmt w:val="lowerLetter"/>
      <w:lvlText w:val="%1)"/>
      <w:lvlJc w:val="left"/>
      <w:pPr>
        <w:ind w:left="1080" w:hanging="360"/>
      </w:pPr>
      <w:rPr>
        <w:b/>
        <w:color w:val="1F497D"/>
      </w:rPr>
    </w:lvl>
    <w:lvl w:ilvl="1" w:tplc="300A0013">
      <w:start w:val="1"/>
      <w:numFmt w:val="upperRoman"/>
      <w:lvlText w:val="%2."/>
      <w:lvlJc w:val="right"/>
      <w:pPr>
        <w:ind w:left="1800" w:hanging="360"/>
      </w:pPr>
    </w:lvl>
    <w:lvl w:ilvl="2" w:tplc="0C0A0019">
      <w:start w:val="1"/>
      <w:numFmt w:val="lowerLetter"/>
      <w:lvlText w:val="%3."/>
      <w:lvlJc w:val="lef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656E77C2"/>
    <w:multiLevelType w:val="hybridMultilevel"/>
    <w:tmpl w:val="3CBEC5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659A0C2A"/>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680A140A"/>
    <w:multiLevelType w:val="hybridMultilevel"/>
    <w:tmpl w:val="DB38A18A"/>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6AC260AB"/>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6DE074A8"/>
    <w:multiLevelType w:val="hybridMultilevel"/>
    <w:tmpl w:val="9EA467BE"/>
    <w:lvl w:ilvl="0" w:tplc="B6A21D90">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6EB31B44"/>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1">
    <w:nsid w:val="70454A30"/>
    <w:multiLevelType w:val="hybridMultilevel"/>
    <w:tmpl w:val="B706104C"/>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2">
    <w:nsid w:val="784822CC"/>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3">
    <w:nsid w:val="7A3F1A6E"/>
    <w:multiLevelType w:val="hybridMultilevel"/>
    <w:tmpl w:val="B6905F14"/>
    <w:lvl w:ilvl="0" w:tplc="1AC45484">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3"/>
  </w:num>
  <w:num w:numId="2">
    <w:abstractNumId w:val="23"/>
  </w:num>
  <w:num w:numId="3">
    <w:abstractNumId w:val="33"/>
  </w:num>
  <w:num w:numId="4">
    <w:abstractNumId w:val="23"/>
  </w:num>
  <w:num w:numId="5">
    <w:abstractNumId w:val="24"/>
  </w:num>
  <w:num w:numId="6">
    <w:abstractNumId w:val="29"/>
  </w:num>
  <w:num w:numId="7">
    <w:abstractNumId w:val="10"/>
  </w:num>
  <w:num w:numId="8">
    <w:abstractNumId w:val="11"/>
  </w:num>
  <w:num w:numId="9">
    <w:abstractNumId w:val="16"/>
  </w:num>
  <w:num w:numId="10">
    <w:abstractNumId w:val="0"/>
  </w:num>
  <w:num w:numId="11">
    <w:abstractNumId w:val="26"/>
  </w:num>
  <w:num w:numId="12">
    <w:abstractNumId w:val="6"/>
  </w:num>
  <w:num w:numId="13">
    <w:abstractNumId w:val="3"/>
  </w:num>
  <w:num w:numId="14">
    <w:abstractNumId w:val="19"/>
  </w:num>
  <w:num w:numId="15">
    <w:abstractNumId w:val="27"/>
  </w:num>
  <w:num w:numId="16">
    <w:abstractNumId w:val="28"/>
  </w:num>
  <w:num w:numId="17">
    <w:abstractNumId w:val="17"/>
  </w:num>
  <w:num w:numId="18">
    <w:abstractNumId w:val="8"/>
  </w:num>
  <w:num w:numId="19">
    <w:abstractNumId w:val="13"/>
  </w:num>
  <w:num w:numId="20">
    <w:abstractNumId w:val="32"/>
  </w:num>
  <w:num w:numId="21">
    <w:abstractNumId w:val="4"/>
  </w:num>
  <w:num w:numId="22">
    <w:abstractNumId w:val="5"/>
  </w:num>
  <w:num w:numId="23">
    <w:abstractNumId w:val="21"/>
  </w:num>
  <w:num w:numId="24">
    <w:abstractNumId w:val="22"/>
  </w:num>
  <w:num w:numId="25">
    <w:abstractNumId w:val="31"/>
  </w:num>
  <w:num w:numId="26">
    <w:abstractNumId w:val="30"/>
  </w:num>
  <w:num w:numId="27">
    <w:abstractNumId w:val="12"/>
  </w:num>
  <w:num w:numId="28">
    <w:abstractNumId w:val="2"/>
  </w:num>
  <w:num w:numId="29">
    <w:abstractNumId w:val="25"/>
  </w:num>
  <w:num w:numId="30">
    <w:abstractNumId w:val="7"/>
  </w:num>
  <w:num w:numId="31">
    <w:abstractNumId w:val="15"/>
  </w:num>
  <w:num w:numId="32">
    <w:abstractNumId w:val="9"/>
  </w:num>
  <w:num w:numId="33">
    <w:abstractNumId w:val="18"/>
  </w:num>
  <w:num w:numId="34">
    <w:abstractNumId w:val="20"/>
  </w:num>
  <w:num w:numId="35">
    <w:abstractNumId w:val="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74"/>
    <w:rsid w:val="00004233"/>
    <w:rsid w:val="000042E6"/>
    <w:rsid w:val="0000451E"/>
    <w:rsid w:val="00025A34"/>
    <w:rsid w:val="000266D8"/>
    <w:rsid w:val="00026754"/>
    <w:rsid w:val="00026758"/>
    <w:rsid w:val="00027BC4"/>
    <w:rsid w:val="00030D84"/>
    <w:rsid w:val="000320E4"/>
    <w:rsid w:val="00041571"/>
    <w:rsid w:val="00041924"/>
    <w:rsid w:val="00045D4A"/>
    <w:rsid w:val="000461E3"/>
    <w:rsid w:val="00046841"/>
    <w:rsid w:val="000469FE"/>
    <w:rsid w:val="00060634"/>
    <w:rsid w:val="000752AE"/>
    <w:rsid w:val="00083763"/>
    <w:rsid w:val="0008444D"/>
    <w:rsid w:val="00087B2C"/>
    <w:rsid w:val="00090B56"/>
    <w:rsid w:val="00091854"/>
    <w:rsid w:val="00093CF7"/>
    <w:rsid w:val="00096238"/>
    <w:rsid w:val="000A78F9"/>
    <w:rsid w:val="000B398F"/>
    <w:rsid w:val="000B3A38"/>
    <w:rsid w:val="000F61BE"/>
    <w:rsid w:val="00110501"/>
    <w:rsid w:val="0011224F"/>
    <w:rsid w:val="001122E5"/>
    <w:rsid w:val="001128DB"/>
    <w:rsid w:val="00116777"/>
    <w:rsid w:val="00122018"/>
    <w:rsid w:val="00125ACA"/>
    <w:rsid w:val="00127CF4"/>
    <w:rsid w:val="0016157E"/>
    <w:rsid w:val="0018362F"/>
    <w:rsid w:val="001A38FB"/>
    <w:rsid w:val="001B6A44"/>
    <w:rsid w:val="001C02DB"/>
    <w:rsid w:val="001C098E"/>
    <w:rsid w:val="001D31D1"/>
    <w:rsid w:val="001E1557"/>
    <w:rsid w:val="001F3F7A"/>
    <w:rsid w:val="00203D55"/>
    <w:rsid w:val="00224EC3"/>
    <w:rsid w:val="002327B9"/>
    <w:rsid w:val="002353A9"/>
    <w:rsid w:val="00242A43"/>
    <w:rsid w:val="00245AC4"/>
    <w:rsid w:val="0025044C"/>
    <w:rsid w:val="00250DCD"/>
    <w:rsid w:val="00254D02"/>
    <w:rsid w:val="0026798D"/>
    <w:rsid w:val="002731DC"/>
    <w:rsid w:val="0028114C"/>
    <w:rsid w:val="00284EE6"/>
    <w:rsid w:val="0029263E"/>
    <w:rsid w:val="00295EB0"/>
    <w:rsid w:val="002A22DC"/>
    <w:rsid w:val="002A3FDB"/>
    <w:rsid w:val="002A4C34"/>
    <w:rsid w:val="002A7799"/>
    <w:rsid w:val="002B0B98"/>
    <w:rsid w:val="002B38D4"/>
    <w:rsid w:val="002B4307"/>
    <w:rsid w:val="002C09BB"/>
    <w:rsid w:val="002C33F2"/>
    <w:rsid w:val="002D24B0"/>
    <w:rsid w:val="002D30BE"/>
    <w:rsid w:val="002D48C0"/>
    <w:rsid w:val="002E2191"/>
    <w:rsid w:val="002E61D6"/>
    <w:rsid w:val="002F1468"/>
    <w:rsid w:val="002F5459"/>
    <w:rsid w:val="002F551C"/>
    <w:rsid w:val="00304F9F"/>
    <w:rsid w:val="003051B7"/>
    <w:rsid w:val="003152F2"/>
    <w:rsid w:val="00324F83"/>
    <w:rsid w:val="00325DFD"/>
    <w:rsid w:val="00330429"/>
    <w:rsid w:val="00333459"/>
    <w:rsid w:val="00344509"/>
    <w:rsid w:val="003527C4"/>
    <w:rsid w:val="00361CD4"/>
    <w:rsid w:val="0037256F"/>
    <w:rsid w:val="003745D3"/>
    <w:rsid w:val="00382368"/>
    <w:rsid w:val="0038632D"/>
    <w:rsid w:val="00387A9E"/>
    <w:rsid w:val="003A12C8"/>
    <w:rsid w:val="003A2829"/>
    <w:rsid w:val="003A2923"/>
    <w:rsid w:val="003A4EAB"/>
    <w:rsid w:val="003B4799"/>
    <w:rsid w:val="003B6032"/>
    <w:rsid w:val="003D034C"/>
    <w:rsid w:val="003D1974"/>
    <w:rsid w:val="003F274D"/>
    <w:rsid w:val="00407258"/>
    <w:rsid w:val="00436813"/>
    <w:rsid w:val="004561E1"/>
    <w:rsid w:val="0047207E"/>
    <w:rsid w:val="004933D5"/>
    <w:rsid w:val="004A0DC0"/>
    <w:rsid w:val="004A6C98"/>
    <w:rsid w:val="004B398D"/>
    <w:rsid w:val="004C1080"/>
    <w:rsid w:val="004C7CC1"/>
    <w:rsid w:val="004E0B76"/>
    <w:rsid w:val="004E4B6E"/>
    <w:rsid w:val="004E7BA5"/>
    <w:rsid w:val="004F3C0A"/>
    <w:rsid w:val="005017DB"/>
    <w:rsid w:val="00505C67"/>
    <w:rsid w:val="00515CFF"/>
    <w:rsid w:val="00517AA7"/>
    <w:rsid w:val="00523E51"/>
    <w:rsid w:val="00537F96"/>
    <w:rsid w:val="005463EE"/>
    <w:rsid w:val="005470EF"/>
    <w:rsid w:val="00552849"/>
    <w:rsid w:val="005567C0"/>
    <w:rsid w:val="005653D1"/>
    <w:rsid w:val="005717FA"/>
    <w:rsid w:val="005722FF"/>
    <w:rsid w:val="0057657D"/>
    <w:rsid w:val="005839BF"/>
    <w:rsid w:val="00590CFE"/>
    <w:rsid w:val="0059347C"/>
    <w:rsid w:val="005953B0"/>
    <w:rsid w:val="0059618A"/>
    <w:rsid w:val="00597C46"/>
    <w:rsid w:val="005A0B89"/>
    <w:rsid w:val="005A5951"/>
    <w:rsid w:val="005B1574"/>
    <w:rsid w:val="005B2D89"/>
    <w:rsid w:val="005B786D"/>
    <w:rsid w:val="005C0B75"/>
    <w:rsid w:val="005D166F"/>
    <w:rsid w:val="005D58F5"/>
    <w:rsid w:val="005E2DED"/>
    <w:rsid w:val="005E48E6"/>
    <w:rsid w:val="005F2704"/>
    <w:rsid w:val="005F7408"/>
    <w:rsid w:val="005F7A99"/>
    <w:rsid w:val="0060511C"/>
    <w:rsid w:val="0060627E"/>
    <w:rsid w:val="00607CFD"/>
    <w:rsid w:val="00624E21"/>
    <w:rsid w:val="006271DD"/>
    <w:rsid w:val="006320B4"/>
    <w:rsid w:val="00634E1D"/>
    <w:rsid w:val="00635AE2"/>
    <w:rsid w:val="00644531"/>
    <w:rsid w:val="006673DD"/>
    <w:rsid w:val="006729CA"/>
    <w:rsid w:val="00677235"/>
    <w:rsid w:val="00686F1A"/>
    <w:rsid w:val="006A12A8"/>
    <w:rsid w:val="006A6ECC"/>
    <w:rsid w:val="006B0B4B"/>
    <w:rsid w:val="006B211F"/>
    <w:rsid w:val="006B5474"/>
    <w:rsid w:val="006B6641"/>
    <w:rsid w:val="006B6763"/>
    <w:rsid w:val="006D5AA0"/>
    <w:rsid w:val="006E0782"/>
    <w:rsid w:val="006E0FDE"/>
    <w:rsid w:val="006E129D"/>
    <w:rsid w:val="006E1BD0"/>
    <w:rsid w:val="006E5ADF"/>
    <w:rsid w:val="006E7E1C"/>
    <w:rsid w:val="006F7FE0"/>
    <w:rsid w:val="007068A4"/>
    <w:rsid w:val="007235A9"/>
    <w:rsid w:val="007304C6"/>
    <w:rsid w:val="0074593F"/>
    <w:rsid w:val="00746EBD"/>
    <w:rsid w:val="00750691"/>
    <w:rsid w:val="00751922"/>
    <w:rsid w:val="00752347"/>
    <w:rsid w:val="00762F37"/>
    <w:rsid w:val="007631C0"/>
    <w:rsid w:val="0077080C"/>
    <w:rsid w:val="007743EB"/>
    <w:rsid w:val="00780EC7"/>
    <w:rsid w:val="0078116A"/>
    <w:rsid w:val="00781F6E"/>
    <w:rsid w:val="007A3DC5"/>
    <w:rsid w:val="007A5D2F"/>
    <w:rsid w:val="007A7855"/>
    <w:rsid w:val="007B24C0"/>
    <w:rsid w:val="007B51E8"/>
    <w:rsid w:val="007C04C5"/>
    <w:rsid w:val="007C09ED"/>
    <w:rsid w:val="007C5558"/>
    <w:rsid w:val="007D38F8"/>
    <w:rsid w:val="007D4BA7"/>
    <w:rsid w:val="007E21D1"/>
    <w:rsid w:val="007E28B3"/>
    <w:rsid w:val="007E747E"/>
    <w:rsid w:val="007E7989"/>
    <w:rsid w:val="007F2957"/>
    <w:rsid w:val="0080012F"/>
    <w:rsid w:val="00813B15"/>
    <w:rsid w:val="00817D42"/>
    <w:rsid w:val="008209AF"/>
    <w:rsid w:val="00822125"/>
    <w:rsid w:val="008238FF"/>
    <w:rsid w:val="00826954"/>
    <w:rsid w:val="00842ADB"/>
    <w:rsid w:val="008458EB"/>
    <w:rsid w:val="00846EC4"/>
    <w:rsid w:val="00850AA6"/>
    <w:rsid w:val="00856038"/>
    <w:rsid w:val="00856888"/>
    <w:rsid w:val="00862497"/>
    <w:rsid w:val="00862E77"/>
    <w:rsid w:val="00870E99"/>
    <w:rsid w:val="008765E5"/>
    <w:rsid w:val="008824CA"/>
    <w:rsid w:val="008869E4"/>
    <w:rsid w:val="00892B95"/>
    <w:rsid w:val="008A0722"/>
    <w:rsid w:val="008A10F6"/>
    <w:rsid w:val="008A75F3"/>
    <w:rsid w:val="008C59EF"/>
    <w:rsid w:val="008D1A0B"/>
    <w:rsid w:val="008F530F"/>
    <w:rsid w:val="008F5C76"/>
    <w:rsid w:val="00901344"/>
    <w:rsid w:val="00925908"/>
    <w:rsid w:val="0092764D"/>
    <w:rsid w:val="009365AA"/>
    <w:rsid w:val="00936A47"/>
    <w:rsid w:val="00940648"/>
    <w:rsid w:val="00957D5E"/>
    <w:rsid w:val="00961A34"/>
    <w:rsid w:val="00965CB8"/>
    <w:rsid w:val="00967A9A"/>
    <w:rsid w:val="00987563"/>
    <w:rsid w:val="009A0814"/>
    <w:rsid w:val="009A39CE"/>
    <w:rsid w:val="009B1DB6"/>
    <w:rsid w:val="009B47F0"/>
    <w:rsid w:val="009C1C74"/>
    <w:rsid w:val="009E1AFD"/>
    <w:rsid w:val="00A05573"/>
    <w:rsid w:val="00A12C20"/>
    <w:rsid w:val="00A1663D"/>
    <w:rsid w:val="00A205F5"/>
    <w:rsid w:val="00A24CDC"/>
    <w:rsid w:val="00A5438F"/>
    <w:rsid w:val="00A54931"/>
    <w:rsid w:val="00A56008"/>
    <w:rsid w:val="00A56648"/>
    <w:rsid w:val="00A61187"/>
    <w:rsid w:val="00A61982"/>
    <w:rsid w:val="00A62566"/>
    <w:rsid w:val="00A64F29"/>
    <w:rsid w:val="00A65D23"/>
    <w:rsid w:val="00A716E4"/>
    <w:rsid w:val="00A77145"/>
    <w:rsid w:val="00A81E5D"/>
    <w:rsid w:val="00A84727"/>
    <w:rsid w:val="00A862FC"/>
    <w:rsid w:val="00A91115"/>
    <w:rsid w:val="00A9227C"/>
    <w:rsid w:val="00AA34B2"/>
    <w:rsid w:val="00AA6532"/>
    <w:rsid w:val="00AC0087"/>
    <w:rsid w:val="00AD5934"/>
    <w:rsid w:val="00AD6399"/>
    <w:rsid w:val="00AE1BC4"/>
    <w:rsid w:val="00AE3019"/>
    <w:rsid w:val="00AE4E6A"/>
    <w:rsid w:val="00AF5FCB"/>
    <w:rsid w:val="00B01729"/>
    <w:rsid w:val="00B0221D"/>
    <w:rsid w:val="00B02AA8"/>
    <w:rsid w:val="00B14B90"/>
    <w:rsid w:val="00B20D94"/>
    <w:rsid w:val="00B273FC"/>
    <w:rsid w:val="00B306E9"/>
    <w:rsid w:val="00B41863"/>
    <w:rsid w:val="00B46A9F"/>
    <w:rsid w:val="00B50E80"/>
    <w:rsid w:val="00B54662"/>
    <w:rsid w:val="00B608DE"/>
    <w:rsid w:val="00B7047F"/>
    <w:rsid w:val="00B71724"/>
    <w:rsid w:val="00B726A4"/>
    <w:rsid w:val="00B7375E"/>
    <w:rsid w:val="00BA0AD0"/>
    <w:rsid w:val="00BA47D6"/>
    <w:rsid w:val="00BA7ED7"/>
    <w:rsid w:val="00BB5CFE"/>
    <w:rsid w:val="00BD546A"/>
    <w:rsid w:val="00BD651A"/>
    <w:rsid w:val="00BE12DF"/>
    <w:rsid w:val="00BE3CBA"/>
    <w:rsid w:val="00BF276D"/>
    <w:rsid w:val="00BF3A3A"/>
    <w:rsid w:val="00C020D0"/>
    <w:rsid w:val="00C022E1"/>
    <w:rsid w:val="00C02BA7"/>
    <w:rsid w:val="00C0530C"/>
    <w:rsid w:val="00C10246"/>
    <w:rsid w:val="00C1359A"/>
    <w:rsid w:val="00C1411A"/>
    <w:rsid w:val="00C16F8F"/>
    <w:rsid w:val="00C22AF9"/>
    <w:rsid w:val="00C26D32"/>
    <w:rsid w:val="00C4141E"/>
    <w:rsid w:val="00C427B5"/>
    <w:rsid w:val="00C50F24"/>
    <w:rsid w:val="00C616E7"/>
    <w:rsid w:val="00C6349C"/>
    <w:rsid w:val="00C72148"/>
    <w:rsid w:val="00C730BC"/>
    <w:rsid w:val="00C761BA"/>
    <w:rsid w:val="00C8339B"/>
    <w:rsid w:val="00C8455D"/>
    <w:rsid w:val="00C91441"/>
    <w:rsid w:val="00C92FB7"/>
    <w:rsid w:val="00C933C6"/>
    <w:rsid w:val="00CA2B2E"/>
    <w:rsid w:val="00CB28F7"/>
    <w:rsid w:val="00CD3B2E"/>
    <w:rsid w:val="00CD6ED1"/>
    <w:rsid w:val="00CE1CF1"/>
    <w:rsid w:val="00CE1F7F"/>
    <w:rsid w:val="00CF16E0"/>
    <w:rsid w:val="00D03A69"/>
    <w:rsid w:val="00D055E1"/>
    <w:rsid w:val="00D06CB5"/>
    <w:rsid w:val="00D1104E"/>
    <w:rsid w:val="00D13BC6"/>
    <w:rsid w:val="00D20615"/>
    <w:rsid w:val="00D212F2"/>
    <w:rsid w:val="00D26122"/>
    <w:rsid w:val="00D26863"/>
    <w:rsid w:val="00D352FC"/>
    <w:rsid w:val="00D37488"/>
    <w:rsid w:val="00D403B7"/>
    <w:rsid w:val="00D40E81"/>
    <w:rsid w:val="00D4150C"/>
    <w:rsid w:val="00D42832"/>
    <w:rsid w:val="00D42AC8"/>
    <w:rsid w:val="00D533E6"/>
    <w:rsid w:val="00D60645"/>
    <w:rsid w:val="00D607ED"/>
    <w:rsid w:val="00D8720F"/>
    <w:rsid w:val="00D879EC"/>
    <w:rsid w:val="00D93674"/>
    <w:rsid w:val="00D968BE"/>
    <w:rsid w:val="00DA7CFD"/>
    <w:rsid w:val="00DB0D46"/>
    <w:rsid w:val="00DB7DC1"/>
    <w:rsid w:val="00DE2AFA"/>
    <w:rsid w:val="00DE4F95"/>
    <w:rsid w:val="00DF2ED0"/>
    <w:rsid w:val="00E00319"/>
    <w:rsid w:val="00E07C03"/>
    <w:rsid w:val="00E178BF"/>
    <w:rsid w:val="00E326FC"/>
    <w:rsid w:val="00E43E02"/>
    <w:rsid w:val="00E600FE"/>
    <w:rsid w:val="00E61D26"/>
    <w:rsid w:val="00E63A8C"/>
    <w:rsid w:val="00E71017"/>
    <w:rsid w:val="00E747D0"/>
    <w:rsid w:val="00E7578D"/>
    <w:rsid w:val="00E93E59"/>
    <w:rsid w:val="00EB6C06"/>
    <w:rsid w:val="00EF1BD0"/>
    <w:rsid w:val="00EF4198"/>
    <w:rsid w:val="00F03359"/>
    <w:rsid w:val="00F07F77"/>
    <w:rsid w:val="00F1530A"/>
    <w:rsid w:val="00F16BE0"/>
    <w:rsid w:val="00F225D2"/>
    <w:rsid w:val="00F22CF3"/>
    <w:rsid w:val="00F24CA7"/>
    <w:rsid w:val="00F30EE6"/>
    <w:rsid w:val="00F35C67"/>
    <w:rsid w:val="00F4662C"/>
    <w:rsid w:val="00F55FD0"/>
    <w:rsid w:val="00F71E24"/>
    <w:rsid w:val="00F74C87"/>
    <w:rsid w:val="00F95298"/>
    <w:rsid w:val="00FA4389"/>
    <w:rsid w:val="00FA6FD4"/>
    <w:rsid w:val="00FB3C61"/>
    <w:rsid w:val="00FC0550"/>
    <w:rsid w:val="00FD5B09"/>
    <w:rsid w:val="00FD79EE"/>
    <w:rsid w:val="00FE1326"/>
    <w:rsid w:val="00FE2764"/>
    <w:rsid w:val="00FE4E31"/>
    <w:rsid w:val="00FF208D"/>
    <w:rsid w:val="00FF37A5"/>
    <w:rsid w:val="00FF4862"/>
    <w:rsid w:val="00FF663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183">
      <w:bodyDiv w:val="1"/>
      <w:marLeft w:val="0"/>
      <w:marRight w:val="0"/>
      <w:marTop w:val="0"/>
      <w:marBottom w:val="0"/>
      <w:divBdr>
        <w:top w:val="none" w:sz="0" w:space="0" w:color="auto"/>
        <w:left w:val="none" w:sz="0" w:space="0" w:color="auto"/>
        <w:bottom w:val="none" w:sz="0" w:space="0" w:color="auto"/>
        <w:right w:val="none" w:sz="0" w:space="0" w:color="auto"/>
      </w:divBdr>
    </w:div>
    <w:div w:id="44565920">
      <w:bodyDiv w:val="1"/>
      <w:marLeft w:val="0"/>
      <w:marRight w:val="0"/>
      <w:marTop w:val="0"/>
      <w:marBottom w:val="0"/>
      <w:divBdr>
        <w:top w:val="none" w:sz="0" w:space="0" w:color="auto"/>
        <w:left w:val="none" w:sz="0" w:space="0" w:color="auto"/>
        <w:bottom w:val="none" w:sz="0" w:space="0" w:color="auto"/>
        <w:right w:val="none" w:sz="0" w:space="0" w:color="auto"/>
      </w:divBdr>
    </w:div>
    <w:div w:id="452094136">
      <w:bodyDiv w:val="1"/>
      <w:marLeft w:val="0"/>
      <w:marRight w:val="0"/>
      <w:marTop w:val="0"/>
      <w:marBottom w:val="0"/>
      <w:divBdr>
        <w:top w:val="none" w:sz="0" w:space="0" w:color="auto"/>
        <w:left w:val="none" w:sz="0" w:space="0" w:color="auto"/>
        <w:bottom w:val="none" w:sz="0" w:space="0" w:color="auto"/>
        <w:right w:val="none" w:sz="0" w:space="0" w:color="auto"/>
      </w:divBdr>
    </w:div>
    <w:div w:id="468010319">
      <w:bodyDiv w:val="1"/>
      <w:marLeft w:val="0"/>
      <w:marRight w:val="0"/>
      <w:marTop w:val="0"/>
      <w:marBottom w:val="0"/>
      <w:divBdr>
        <w:top w:val="none" w:sz="0" w:space="0" w:color="auto"/>
        <w:left w:val="none" w:sz="0" w:space="0" w:color="auto"/>
        <w:bottom w:val="none" w:sz="0" w:space="0" w:color="auto"/>
        <w:right w:val="none" w:sz="0" w:space="0" w:color="auto"/>
      </w:divBdr>
    </w:div>
    <w:div w:id="502168856">
      <w:bodyDiv w:val="1"/>
      <w:marLeft w:val="0"/>
      <w:marRight w:val="0"/>
      <w:marTop w:val="0"/>
      <w:marBottom w:val="0"/>
      <w:divBdr>
        <w:top w:val="none" w:sz="0" w:space="0" w:color="auto"/>
        <w:left w:val="none" w:sz="0" w:space="0" w:color="auto"/>
        <w:bottom w:val="none" w:sz="0" w:space="0" w:color="auto"/>
        <w:right w:val="none" w:sz="0" w:space="0" w:color="auto"/>
      </w:divBdr>
    </w:div>
    <w:div w:id="512261556">
      <w:bodyDiv w:val="1"/>
      <w:marLeft w:val="0"/>
      <w:marRight w:val="0"/>
      <w:marTop w:val="0"/>
      <w:marBottom w:val="0"/>
      <w:divBdr>
        <w:top w:val="none" w:sz="0" w:space="0" w:color="auto"/>
        <w:left w:val="none" w:sz="0" w:space="0" w:color="auto"/>
        <w:bottom w:val="none" w:sz="0" w:space="0" w:color="auto"/>
        <w:right w:val="none" w:sz="0" w:space="0" w:color="auto"/>
      </w:divBdr>
    </w:div>
    <w:div w:id="522523328">
      <w:bodyDiv w:val="1"/>
      <w:marLeft w:val="0"/>
      <w:marRight w:val="0"/>
      <w:marTop w:val="0"/>
      <w:marBottom w:val="0"/>
      <w:divBdr>
        <w:top w:val="none" w:sz="0" w:space="0" w:color="auto"/>
        <w:left w:val="none" w:sz="0" w:space="0" w:color="auto"/>
        <w:bottom w:val="none" w:sz="0" w:space="0" w:color="auto"/>
        <w:right w:val="none" w:sz="0" w:space="0" w:color="auto"/>
      </w:divBdr>
    </w:div>
    <w:div w:id="764038798">
      <w:bodyDiv w:val="1"/>
      <w:marLeft w:val="0"/>
      <w:marRight w:val="0"/>
      <w:marTop w:val="0"/>
      <w:marBottom w:val="0"/>
      <w:divBdr>
        <w:top w:val="none" w:sz="0" w:space="0" w:color="auto"/>
        <w:left w:val="none" w:sz="0" w:space="0" w:color="auto"/>
        <w:bottom w:val="none" w:sz="0" w:space="0" w:color="auto"/>
        <w:right w:val="none" w:sz="0" w:space="0" w:color="auto"/>
      </w:divBdr>
    </w:div>
    <w:div w:id="811557461">
      <w:bodyDiv w:val="1"/>
      <w:marLeft w:val="0"/>
      <w:marRight w:val="0"/>
      <w:marTop w:val="0"/>
      <w:marBottom w:val="0"/>
      <w:divBdr>
        <w:top w:val="none" w:sz="0" w:space="0" w:color="auto"/>
        <w:left w:val="none" w:sz="0" w:space="0" w:color="auto"/>
        <w:bottom w:val="none" w:sz="0" w:space="0" w:color="auto"/>
        <w:right w:val="none" w:sz="0" w:space="0" w:color="auto"/>
      </w:divBdr>
    </w:div>
    <w:div w:id="859396159">
      <w:bodyDiv w:val="1"/>
      <w:marLeft w:val="0"/>
      <w:marRight w:val="0"/>
      <w:marTop w:val="0"/>
      <w:marBottom w:val="0"/>
      <w:divBdr>
        <w:top w:val="none" w:sz="0" w:space="0" w:color="auto"/>
        <w:left w:val="none" w:sz="0" w:space="0" w:color="auto"/>
        <w:bottom w:val="none" w:sz="0" w:space="0" w:color="auto"/>
        <w:right w:val="none" w:sz="0" w:space="0" w:color="auto"/>
      </w:divBdr>
    </w:div>
    <w:div w:id="1168787387">
      <w:bodyDiv w:val="1"/>
      <w:marLeft w:val="0"/>
      <w:marRight w:val="0"/>
      <w:marTop w:val="0"/>
      <w:marBottom w:val="0"/>
      <w:divBdr>
        <w:top w:val="none" w:sz="0" w:space="0" w:color="auto"/>
        <w:left w:val="none" w:sz="0" w:space="0" w:color="auto"/>
        <w:bottom w:val="none" w:sz="0" w:space="0" w:color="auto"/>
        <w:right w:val="none" w:sz="0" w:space="0" w:color="auto"/>
      </w:divBdr>
    </w:div>
    <w:div w:id="1180045749">
      <w:bodyDiv w:val="1"/>
      <w:marLeft w:val="0"/>
      <w:marRight w:val="0"/>
      <w:marTop w:val="0"/>
      <w:marBottom w:val="0"/>
      <w:divBdr>
        <w:top w:val="none" w:sz="0" w:space="0" w:color="auto"/>
        <w:left w:val="none" w:sz="0" w:space="0" w:color="auto"/>
        <w:bottom w:val="none" w:sz="0" w:space="0" w:color="auto"/>
        <w:right w:val="none" w:sz="0" w:space="0" w:color="auto"/>
      </w:divBdr>
    </w:div>
    <w:div w:id="1406221956">
      <w:bodyDiv w:val="1"/>
      <w:marLeft w:val="0"/>
      <w:marRight w:val="0"/>
      <w:marTop w:val="0"/>
      <w:marBottom w:val="0"/>
      <w:divBdr>
        <w:top w:val="none" w:sz="0" w:space="0" w:color="auto"/>
        <w:left w:val="none" w:sz="0" w:space="0" w:color="auto"/>
        <w:bottom w:val="none" w:sz="0" w:space="0" w:color="auto"/>
        <w:right w:val="none" w:sz="0" w:space="0" w:color="auto"/>
      </w:divBdr>
    </w:div>
    <w:div w:id="1476608911">
      <w:bodyDiv w:val="1"/>
      <w:marLeft w:val="0"/>
      <w:marRight w:val="0"/>
      <w:marTop w:val="0"/>
      <w:marBottom w:val="0"/>
      <w:divBdr>
        <w:top w:val="none" w:sz="0" w:space="0" w:color="auto"/>
        <w:left w:val="none" w:sz="0" w:space="0" w:color="auto"/>
        <w:bottom w:val="none" w:sz="0" w:space="0" w:color="auto"/>
        <w:right w:val="none" w:sz="0" w:space="0" w:color="auto"/>
      </w:divBdr>
    </w:div>
    <w:div w:id="1642071939">
      <w:bodyDiv w:val="1"/>
      <w:marLeft w:val="0"/>
      <w:marRight w:val="0"/>
      <w:marTop w:val="0"/>
      <w:marBottom w:val="0"/>
      <w:divBdr>
        <w:top w:val="none" w:sz="0" w:space="0" w:color="auto"/>
        <w:left w:val="none" w:sz="0" w:space="0" w:color="auto"/>
        <w:bottom w:val="none" w:sz="0" w:space="0" w:color="auto"/>
        <w:right w:val="none" w:sz="0" w:space="0" w:color="auto"/>
      </w:divBdr>
    </w:div>
    <w:div w:id="1741631004">
      <w:bodyDiv w:val="1"/>
      <w:marLeft w:val="0"/>
      <w:marRight w:val="0"/>
      <w:marTop w:val="0"/>
      <w:marBottom w:val="0"/>
      <w:divBdr>
        <w:top w:val="none" w:sz="0" w:space="0" w:color="auto"/>
        <w:left w:val="none" w:sz="0" w:space="0" w:color="auto"/>
        <w:bottom w:val="none" w:sz="0" w:space="0" w:color="auto"/>
        <w:right w:val="none" w:sz="0" w:space="0" w:color="auto"/>
      </w:divBdr>
    </w:div>
    <w:div w:id="1931114643">
      <w:bodyDiv w:val="1"/>
      <w:marLeft w:val="0"/>
      <w:marRight w:val="0"/>
      <w:marTop w:val="0"/>
      <w:marBottom w:val="0"/>
      <w:divBdr>
        <w:top w:val="none" w:sz="0" w:space="0" w:color="auto"/>
        <w:left w:val="none" w:sz="0" w:space="0" w:color="auto"/>
        <w:bottom w:val="none" w:sz="0" w:space="0" w:color="auto"/>
        <w:right w:val="none" w:sz="0" w:space="0" w:color="auto"/>
      </w:divBdr>
    </w:div>
    <w:div w:id="20238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uperbancos.gob.ec/medios/PORTALDOCS/downloads/normativa/nueva_codificacion/todos/L1_V_cap_I.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38A8-D4AB-44CF-8102-A7FF8F40A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1374</Words>
  <Characters>7557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Normativas y Metodologías del SEN – DINME  gnogales</dc:creator>
  <cp:lastModifiedBy>Laura Jimenez</cp:lastModifiedBy>
  <cp:revision>3</cp:revision>
  <cp:lastPrinted>2016-11-14T20:48:00Z</cp:lastPrinted>
  <dcterms:created xsi:type="dcterms:W3CDTF">2017-06-13T19:02:00Z</dcterms:created>
  <dcterms:modified xsi:type="dcterms:W3CDTF">2017-06-13T20:56:00Z</dcterms:modified>
</cp:coreProperties>
</file>