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20"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141"/>
        <w:gridCol w:w="1355"/>
        <w:gridCol w:w="1294"/>
        <w:gridCol w:w="2449"/>
        <w:gridCol w:w="2607"/>
      </w:tblGrid>
      <w:tr w:rsidR="00030D84" w:rsidRPr="000346B3" w:rsidTr="004A0DC0">
        <w:trPr>
          <w:trHeight w:val="851"/>
          <w:tblCellSpacing w:w="20" w:type="dxa"/>
        </w:trPr>
        <w:tc>
          <w:tcPr>
            <w:tcW w:w="4959" w:type="pct"/>
            <w:gridSpan w:val="5"/>
            <w:shd w:val="clear" w:color="auto" w:fill="365F91"/>
            <w:noWrap/>
            <w:vAlign w:val="center"/>
            <w:hideMark/>
          </w:tcPr>
          <w:p w:rsidR="00030D84" w:rsidRPr="000346B3" w:rsidRDefault="00B53786" w:rsidP="00004233">
            <w:pPr>
              <w:jc w:val="center"/>
              <w:rPr>
                <w:rFonts w:ascii="Arial" w:eastAsia="Times New Roman" w:hAnsi="Arial" w:cs="Arial"/>
                <w:b/>
                <w:bCs/>
                <w:color w:val="FFFFFF"/>
                <w:sz w:val="20"/>
                <w:szCs w:val="20"/>
              </w:rPr>
            </w:pPr>
            <w:r w:rsidRPr="00007C84">
              <w:rPr>
                <w:rFonts w:ascii="Arial" w:eastAsia="Times New Roman" w:hAnsi="Arial" w:cs="Arial"/>
                <w:b/>
                <w:bCs/>
                <w:color w:val="FFFFFF"/>
                <w:sz w:val="20"/>
                <w:szCs w:val="20"/>
              </w:rPr>
              <w:t>FICHA METODOLÓGICA</w:t>
            </w:r>
            <w:r w:rsidR="00734D2F">
              <w:rPr>
                <w:rFonts w:ascii="Arial" w:eastAsia="Times New Roman" w:hAnsi="Arial" w:cs="Arial"/>
                <w:b/>
                <w:bCs/>
                <w:color w:val="FFFFFF"/>
                <w:sz w:val="20"/>
                <w:szCs w:val="20"/>
              </w:rPr>
              <w:t>-INDICADOR</w:t>
            </w:r>
            <w:r>
              <w:rPr>
                <w:rFonts w:ascii="Arial" w:eastAsia="Times New Roman" w:hAnsi="Arial" w:cs="Arial"/>
                <w:b/>
                <w:bCs/>
                <w:color w:val="FFFFFF"/>
                <w:sz w:val="20"/>
                <w:szCs w:val="20"/>
              </w:rPr>
              <w:t xml:space="preserve"> ODS</w:t>
            </w:r>
          </w:p>
        </w:tc>
      </w:tr>
      <w:tr w:rsidR="00030D84" w:rsidRPr="000346B3" w:rsidTr="0068736A">
        <w:trPr>
          <w:trHeight w:val="612"/>
          <w:tblCellSpacing w:w="20" w:type="dxa"/>
        </w:trPr>
        <w:tc>
          <w:tcPr>
            <w:tcW w:w="1740" w:type="pct"/>
            <w:gridSpan w:val="2"/>
            <w:shd w:val="clear" w:color="auto" w:fill="C6D9F1"/>
            <w:vAlign w:val="center"/>
            <w:hideMark/>
          </w:tcPr>
          <w:p w:rsidR="00030D84" w:rsidRPr="000346B3" w:rsidRDefault="00030D84" w:rsidP="00004233">
            <w:pPr>
              <w:rPr>
                <w:rFonts w:ascii="Arial" w:eastAsia="Times New Roman" w:hAnsi="Arial" w:cs="Arial"/>
                <w:b/>
                <w:bCs/>
                <w:sz w:val="20"/>
                <w:szCs w:val="20"/>
              </w:rPr>
            </w:pPr>
            <w:r w:rsidRPr="000346B3">
              <w:rPr>
                <w:rFonts w:ascii="Arial" w:eastAsia="Times New Roman" w:hAnsi="Arial" w:cs="Arial"/>
                <w:b/>
                <w:bCs/>
                <w:sz w:val="20"/>
                <w:szCs w:val="20"/>
              </w:rPr>
              <w:t>NOMBRE DEL INDICADOR</w:t>
            </w:r>
          </w:p>
        </w:tc>
        <w:tc>
          <w:tcPr>
            <w:tcW w:w="3199" w:type="pct"/>
            <w:gridSpan w:val="3"/>
            <w:shd w:val="clear" w:color="auto" w:fill="auto"/>
            <w:vAlign w:val="center"/>
            <w:hideMark/>
          </w:tcPr>
          <w:p w:rsidR="00F410D0" w:rsidRPr="000346B3" w:rsidRDefault="00F410D0" w:rsidP="003C67EC">
            <w:pPr>
              <w:spacing w:line="240" w:lineRule="auto"/>
              <w:jc w:val="both"/>
              <w:rPr>
                <w:rFonts w:ascii="Arial" w:eastAsia="Times New Roman" w:hAnsi="Arial" w:cs="Arial"/>
                <w:b/>
                <w:color w:val="000000"/>
                <w:sz w:val="20"/>
                <w:szCs w:val="20"/>
              </w:rPr>
            </w:pPr>
            <w:r w:rsidRPr="000346B3">
              <w:rPr>
                <w:rFonts w:ascii="Arial" w:eastAsia="Times New Roman" w:hAnsi="Arial" w:cs="Arial"/>
                <w:b/>
                <w:color w:val="000000"/>
                <w:sz w:val="20"/>
                <w:szCs w:val="20"/>
              </w:rPr>
              <w:t>Indicadores de Solidez Financiera</w:t>
            </w:r>
          </w:p>
          <w:p w:rsidR="00030D84" w:rsidRPr="00BE342E" w:rsidRDefault="00F410D0" w:rsidP="003C67EC">
            <w:pPr>
              <w:pStyle w:val="Prrafodelista"/>
              <w:numPr>
                <w:ilvl w:val="0"/>
                <w:numId w:val="33"/>
              </w:numPr>
              <w:spacing w:line="240" w:lineRule="auto"/>
              <w:jc w:val="both"/>
              <w:rPr>
                <w:rFonts w:ascii="Arial" w:eastAsia="Times New Roman" w:hAnsi="Arial" w:cs="Arial"/>
                <w:b/>
                <w:i/>
                <w:color w:val="000000"/>
                <w:sz w:val="20"/>
                <w:szCs w:val="20"/>
              </w:rPr>
            </w:pPr>
            <w:r w:rsidRPr="00BE342E">
              <w:rPr>
                <w:rFonts w:ascii="Arial" w:eastAsia="Times New Roman" w:hAnsi="Arial" w:cs="Arial"/>
                <w:b/>
                <w:i/>
                <w:color w:val="000000"/>
                <w:sz w:val="20"/>
                <w:szCs w:val="20"/>
              </w:rPr>
              <w:t>Morosidad de cartera</w:t>
            </w:r>
          </w:p>
        </w:tc>
      </w:tr>
      <w:tr w:rsidR="00030D84" w:rsidRPr="000346B3" w:rsidTr="0068736A">
        <w:trPr>
          <w:trHeight w:val="606"/>
          <w:tblCellSpacing w:w="20" w:type="dxa"/>
        </w:trPr>
        <w:tc>
          <w:tcPr>
            <w:tcW w:w="1740" w:type="pct"/>
            <w:gridSpan w:val="2"/>
            <w:shd w:val="clear" w:color="auto" w:fill="C6D9F1"/>
            <w:vAlign w:val="center"/>
            <w:hideMark/>
          </w:tcPr>
          <w:p w:rsidR="00030D84" w:rsidRPr="000346B3" w:rsidRDefault="00030D84" w:rsidP="00004233">
            <w:pPr>
              <w:rPr>
                <w:rFonts w:ascii="Arial" w:eastAsia="Times New Roman" w:hAnsi="Arial" w:cs="Arial"/>
                <w:b/>
                <w:bCs/>
                <w:sz w:val="20"/>
                <w:szCs w:val="20"/>
              </w:rPr>
            </w:pPr>
            <w:r w:rsidRPr="000346B3">
              <w:rPr>
                <w:rFonts w:ascii="Arial" w:eastAsia="Times New Roman" w:hAnsi="Arial" w:cs="Arial"/>
                <w:b/>
                <w:bCs/>
                <w:sz w:val="20"/>
                <w:szCs w:val="20"/>
              </w:rPr>
              <w:t>DEFINICIÓN</w:t>
            </w:r>
          </w:p>
        </w:tc>
        <w:tc>
          <w:tcPr>
            <w:tcW w:w="3199" w:type="pct"/>
            <w:gridSpan w:val="3"/>
            <w:shd w:val="clear" w:color="auto" w:fill="auto"/>
            <w:vAlign w:val="center"/>
            <w:hideMark/>
          </w:tcPr>
          <w:p w:rsidR="00EB7BC7" w:rsidRDefault="00026754" w:rsidP="00EB7BC7">
            <w:pPr>
              <w:autoSpaceDE w:val="0"/>
              <w:autoSpaceDN w:val="0"/>
              <w:adjustRightInd w:val="0"/>
              <w:spacing w:after="0" w:line="240" w:lineRule="auto"/>
              <w:jc w:val="both"/>
              <w:rPr>
                <w:rFonts w:ascii="Arial" w:hAnsi="Arial" w:cs="Arial"/>
                <w:sz w:val="20"/>
                <w:szCs w:val="20"/>
              </w:rPr>
            </w:pPr>
            <w:r w:rsidRPr="000346B3">
              <w:rPr>
                <w:rFonts w:ascii="Arial" w:hAnsi="Arial" w:cs="Arial"/>
                <w:sz w:val="20"/>
                <w:szCs w:val="20"/>
              </w:rPr>
              <w:t xml:space="preserve">El coeficiente de </w:t>
            </w:r>
            <w:r w:rsidR="00CB23C2" w:rsidRPr="000346B3">
              <w:rPr>
                <w:rFonts w:ascii="Arial" w:hAnsi="Arial" w:cs="Arial"/>
                <w:sz w:val="20"/>
                <w:szCs w:val="20"/>
              </w:rPr>
              <w:t>MOROSIDAD DE CARTERA</w:t>
            </w:r>
            <w:r w:rsidRPr="000346B3">
              <w:rPr>
                <w:rFonts w:ascii="Arial" w:hAnsi="Arial" w:cs="Arial"/>
                <w:sz w:val="20"/>
                <w:szCs w:val="20"/>
              </w:rPr>
              <w:t xml:space="preserve"> </w:t>
            </w:r>
            <w:r w:rsidR="007A78E9" w:rsidRPr="000346B3">
              <w:rPr>
                <w:rFonts w:ascii="Arial" w:hAnsi="Arial" w:cs="Arial"/>
                <w:sz w:val="20"/>
                <w:szCs w:val="20"/>
              </w:rPr>
              <w:t>se</w:t>
            </w:r>
            <w:r w:rsidR="00BA6FAD" w:rsidRPr="000346B3">
              <w:rPr>
                <w:rFonts w:ascii="Arial" w:hAnsi="Arial" w:cs="Arial"/>
                <w:sz w:val="20"/>
                <w:szCs w:val="20"/>
              </w:rPr>
              <w:t xml:space="preserve"> emplea para</w:t>
            </w:r>
            <w:r w:rsidR="007A78E9" w:rsidRPr="000346B3">
              <w:rPr>
                <w:rFonts w:ascii="Arial" w:hAnsi="Arial" w:cs="Arial"/>
                <w:sz w:val="20"/>
                <w:szCs w:val="20"/>
              </w:rPr>
              <w:t xml:space="preserve"> </w:t>
            </w:r>
            <w:r w:rsidR="00BA6FAD" w:rsidRPr="000346B3">
              <w:rPr>
                <w:rFonts w:ascii="Arial" w:hAnsi="Arial" w:cs="Arial"/>
                <w:sz w:val="20"/>
                <w:szCs w:val="20"/>
              </w:rPr>
              <w:t>detectar problemas de calidad de los activos de la cartera de</w:t>
            </w:r>
            <w:r w:rsidR="007A78E9" w:rsidRPr="000346B3">
              <w:rPr>
                <w:rFonts w:ascii="Arial" w:hAnsi="Arial" w:cs="Arial"/>
                <w:sz w:val="20"/>
                <w:szCs w:val="20"/>
              </w:rPr>
              <w:t xml:space="preserve"> </w:t>
            </w:r>
            <w:r w:rsidR="00BA6FAD" w:rsidRPr="000346B3">
              <w:rPr>
                <w:rFonts w:ascii="Arial" w:hAnsi="Arial" w:cs="Arial"/>
                <w:sz w:val="20"/>
                <w:szCs w:val="20"/>
              </w:rPr>
              <w:t>préstamos.</w:t>
            </w:r>
          </w:p>
          <w:p w:rsidR="004A7459" w:rsidRPr="000346B3" w:rsidRDefault="004A7459" w:rsidP="00EB7BC7">
            <w:pPr>
              <w:autoSpaceDE w:val="0"/>
              <w:autoSpaceDN w:val="0"/>
              <w:adjustRightInd w:val="0"/>
              <w:spacing w:after="0" w:line="240" w:lineRule="auto"/>
              <w:jc w:val="both"/>
              <w:rPr>
                <w:rFonts w:ascii="Arial" w:hAnsi="Arial" w:cs="Arial"/>
                <w:sz w:val="20"/>
                <w:szCs w:val="20"/>
              </w:rPr>
            </w:pPr>
          </w:p>
          <w:p w:rsidR="00EB7BC7" w:rsidRPr="000346B3" w:rsidRDefault="00EB7BC7" w:rsidP="00EB7BC7">
            <w:pPr>
              <w:autoSpaceDE w:val="0"/>
              <w:autoSpaceDN w:val="0"/>
              <w:adjustRightInd w:val="0"/>
              <w:spacing w:after="0" w:line="240" w:lineRule="auto"/>
              <w:jc w:val="both"/>
              <w:rPr>
                <w:rFonts w:ascii="Arial" w:hAnsi="Arial" w:cs="Arial"/>
                <w:i/>
                <w:sz w:val="20"/>
                <w:szCs w:val="20"/>
              </w:rPr>
            </w:pPr>
            <w:r w:rsidRPr="000346B3">
              <w:rPr>
                <w:rFonts w:ascii="Arial" w:hAnsi="Arial" w:cs="Arial"/>
                <w:sz w:val="20"/>
                <w:szCs w:val="20"/>
              </w:rPr>
              <w:t>“</w:t>
            </w:r>
            <w:r w:rsidRPr="000346B3">
              <w:rPr>
                <w:rFonts w:ascii="Arial" w:hAnsi="Arial" w:cs="Arial"/>
                <w:i/>
                <w:sz w:val="20"/>
                <w:szCs w:val="20"/>
                <w:lang w:val="es-ES_tradnl"/>
              </w:rPr>
              <w:t>E</w:t>
            </w:r>
            <w:proofErr w:type="spellStart"/>
            <w:r w:rsidRPr="000346B3">
              <w:rPr>
                <w:rFonts w:ascii="Arial" w:hAnsi="Arial" w:cs="Arial"/>
                <w:i/>
                <w:sz w:val="20"/>
                <w:szCs w:val="20"/>
              </w:rPr>
              <w:t>ste</w:t>
            </w:r>
            <w:proofErr w:type="spellEnd"/>
            <w:r w:rsidRPr="000346B3">
              <w:rPr>
                <w:rFonts w:ascii="Arial" w:hAnsi="Arial" w:cs="Arial"/>
                <w:i/>
                <w:sz w:val="20"/>
                <w:szCs w:val="20"/>
              </w:rPr>
              <w:t xml:space="preserve"> indicador mide la porción de la cartera total que tien</w:t>
            </w:r>
            <w:r w:rsidR="00F64B4C" w:rsidRPr="000346B3">
              <w:rPr>
                <w:rFonts w:ascii="Arial" w:hAnsi="Arial" w:cs="Arial"/>
                <w:i/>
                <w:sz w:val="20"/>
                <w:szCs w:val="20"/>
              </w:rPr>
              <w:t xml:space="preserve">e cuotas vencidas por lo tanto </w:t>
            </w:r>
            <w:r w:rsidRPr="000346B3">
              <w:rPr>
                <w:rFonts w:ascii="Arial" w:hAnsi="Arial" w:cs="Arial"/>
                <w:i/>
                <w:sz w:val="20"/>
                <w:szCs w:val="20"/>
              </w:rPr>
              <w:t>no genera intereses ni ingresos”</w:t>
            </w:r>
            <w:r w:rsidRPr="000346B3">
              <w:rPr>
                <w:rStyle w:val="Refdenotaalpie"/>
                <w:rFonts w:ascii="Arial" w:hAnsi="Arial" w:cs="Arial"/>
                <w:i/>
                <w:sz w:val="20"/>
                <w:szCs w:val="20"/>
              </w:rPr>
              <w:footnoteReference w:id="1"/>
            </w:r>
            <w:r w:rsidRPr="000346B3">
              <w:rPr>
                <w:rFonts w:ascii="Arial" w:hAnsi="Arial" w:cs="Arial"/>
                <w:i/>
                <w:sz w:val="20"/>
                <w:szCs w:val="20"/>
              </w:rPr>
              <w:t>.</w:t>
            </w:r>
          </w:p>
          <w:p w:rsidR="00030D84" w:rsidRPr="000346B3" w:rsidRDefault="00030D84" w:rsidP="007A78E9">
            <w:pPr>
              <w:autoSpaceDE w:val="0"/>
              <w:autoSpaceDN w:val="0"/>
              <w:adjustRightInd w:val="0"/>
              <w:spacing w:after="0" w:line="240" w:lineRule="auto"/>
              <w:jc w:val="both"/>
              <w:rPr>
                <w:rFonts w:ascii="Arial" w:hAnsi="Arial" w:cs="Arial"/>
                <w:sz w:val="20"/>
                <w:szCs w:val="20"/>
              </w:rPr>
            </w:pPr>
          </w:p>
        </w:tc>
      </w:tr>
      <w:tr w:rsidR="00030D84" w:rsidRPr="000346B3" w:rsidTr="004A0DC0">
        <w:trPr>
          <w:trHeight w:val="513"/>
          <w:tblCellSpacing w:w="20" w:type="dxa"/>
        </w:trPr>
        <w:tc>
          <w:tcPr>
            <w:tcW w:w="4959" w:type="pct"/>
            <w:gridSpan w:val="5"/>
            <w:shd w:val="clear" w:color="auto" w:fill="C6D9F1"/>
            <w:vAlign w:val="center"/>
            <w:hideMark/>
          </w:tcPr>
          <w:p w:rsidR="00030D84" w:rsidRPr="000346B3" w:rsidRDefault="00C022E1" w:rsidP="00004233">
            <w:pPr>
              <w:jc w:val="center"/>
              <w:rPr>
                <w:rFonts w:ascii="Arial" w:eastAsia="Times New Roman" w:hAnsi="Arial" w:cs="Arial"/>
                <w:b/>
                <w:bCs/>
                <w:sz w:val="20"/>
                <w:szCs w:val="20"/>
              </w:rPr>
            </w:pPr>
            <w:r w:rsidRPr="000346B3">
              <w:rPr>
                <w:rFonts w:ascii="Arial" w:eastAsia="Times New Roman" w:hAnsi="Arial" w:cs="Arial"/>
                <w:b/>
                <w:bCs/>
                <w:sz w:val="20"/>
                <w:szCs w:val="20"/>
              </w:rPr>
              <w:t>FÓRMULA DE CÁ</w:t>
            </w:r>
            <w:r w:rsidR="00030D84" w:rsidRPr="000346B3">
              <w:rPr>
                <w:rFonts w:ascii="Arial" w:eastAsia="Times New Roman" w:hAnsi="Arial" w:cs="Arial"/>
                <w:b/>
                <w:bCs/>
                <w:sz w:val="20"/>
                <w:szCs w:val="20"/>
              </w:rPr>
              <w:t>LCULO</w:t>
            </w:r>
          </w:p>
        </w:tc>
      </w:tr>
      <w:tr w:rsidR="004E7BA5" w:rsidRPr="000346B3" w:rsidTr="004A0DC0">
        <w:trPr>
          <w:trHeight w:val="513"/>
          <w:tblCellSpacing w:w="20" w:type="dxa"/>
        </w:trPr>
        <w:tc>
          <w:tcPr>
            <w:tcW w:w="4959" w:type="pct"/>
            <w:gridSpan w:val="5"/>
            <w:shd w:val="clear" w:color="auto" w:fill="auto"/>
          </w:tcPr>
          <w:p w:rsidR="00026754" w:rsidRPr="000346B3" w:rsidRDefault="00BA6FAD" w:rsidP="00FE1326">
            <w:pPr>
              <w:autoSpaceDE w:val="0"/>
              <w:autoSpaceDN w:val="0"/>
              <w:adjustRightInd w:val="0"/>
              <w:spacing w:after="0" w:line="240" w:lineRule="auto"/>
              <w:jc w:val="center"/>
              <w:rPr>
                <w:rFonts w:ascii="Arial" w:eastAsia="Times New Roman" w:hAnsi="Arial" w:cs="Arial"/>
                <w:b/>
                <w:color w:val="000000"/>
                <w:sz w:val="20"/>
                <w:szCs w:val="20"/>
              </w:rPr>
            </w:pPr>
            <w:r w:rsidRPr="000346B3">
              <w:rPr>
                <w:rFonts w:ascii="Arial" w:hAnsi="Arial" w:cs="Arial"/>
                <w:b/>
                <w:bCs/>
                <w:i/>
                <w:iCs/>
                <w:sz w:val="20"/>
                <w:szCs w:val="20"/>
              </w:rPr>
              <w:t>Cartera en mora</w:t>
            </w:r>
            <w:r w:rsidR="00EB7BC7" w:rsidRPr="000346B3">
              <w:rPr>
                <w:rFonts w:ascii="Arial" w:hAnsi="Arial" w:cs="Arial"/>
                <w:b/>
                <w:bCs/>
                <w:i/>
                <w:iCs/>
                <w:sz w:val="20"/>
                <w:szCs w:val="20"/>
              </w:rPr>
              <w:t xml:space="preserve"> </w:t>
            </w:r>
            <w:r w:rsidRPr="000346B3">
              <w:rPr>
                <w:rFonts w:ascii="Arial" w:hAnsi="Arial" w:cs="Arial"/>
                <w:b/>
                <w:bCs/>
                <w:i/>
                <w:iCs/>
                <w:sz w:val="20"/>
                <w:szCs w:val="20"/>
              </w:rPr>
              <w:t>/cartera total bruta</w:t>
            </w:r>
            <w:r w:rsidR="00EB7BC7" w:rsidRPr="000346B3">
              <w:rPr>
                <w:rStyle w:val="Refdenotaalpie"/>
                <w:rFonts w:ascii="Arial" w:hAnsi="Arial" w:cs="Arial"/>
                <w:b/>
                <w:bCs/>
                <w:i/>
                <w:iCs/>
                <w:sz w:val="20"/>
                <w:szCs w:val="20"/>
              </w:rPr>
              <w:footnoteReference w:id="2"/>
            </w:r>
            <w:r w:rsidR="00026754" w:rsidRPr="000346B3">
              <w:rPr>
                <w:rFonts w:ascii="Arial" w:eastAsia="Times New Roman" w:hAnsi="Arial" w:cs="Arial"/>
                <w:b/>
                <w:color w:val="000000"/>
                <w:sz w:val="20"/>
                <w:szCs w:val="20"/>
              </w:rPr>
              <w:t xml:space="preserve"> (I00</w:t>
            </w:r>
            <w:r w:rsidRPr="000346B3">
              <w:rPr>
                <w:rFonts w:ascii="Arial" w:eastAsia="Times New Roman" w:hAnsi="Arial" w:cs="Arial"/>
                <w:b/>
                <w:color w:val="000000"/>
                <w:sz w:val="20"/>
                <w:szCs w:val="20"/>
              </w:rPr>
              <w:t>4</w:t>
            </w:r>
            <w:r w:rsidR="00026754" w:rsidRPr="000346B3">
              <w:rPr>
                <w:rFonts w:ascii="Arial" w:eastAsia="Times New Roman" w:hAnsi="Arial" w:cs="Arial"/>
                <w:b/>
                <w:color w:val="000000"/>
                <w:sz w:val="20"/>
                <w:szCs w:val="20"/>
              </w:rPr>
              <w:t>)</w:t>
            </w:r>
          </w:p>
          <w:p w:rsidR="00026754" w:rsidRPr="000346B3" w:rsidRDefault="00026754" w:rsidP="00FE1326">
            <w:pPr>
              <w:autoSpaceDE w:val="0"/>
              <w:autoSpaceDN w:val="0"/>
              <w:adjustRightInd w:val="0"/>
              <w:spacing w:after="0" w:line="240" w:lineRule="auto"/>
              <w:jc w:val="center"/>
              <w:rPr>
                <w:rFonts w:ascii="Arial" w:eastAsia="Times New Roman" w:hAnsi="Arial" w:cs="Arial"/>
                <w:b/>
                <w:bCs/>
                <w:sz w:val="20"/>
                <w:szCs w:val="20"/>
              </w:rPr>
            </w:pPr>
          </w:p>
          <w:p w:rsidR="004E7BA5" w:rsidRPr="000346B3" w:rsidRDefault="00BA6FAD" w:rsidP="00FE1326">
            <w:pPr>
              <w:autoSpaceDE w:val="0"/>
              <w:autoSpaceDN w:val="0"/>
              <w:adjustRightInd w:val="0"/>
              <w:spacing w:after="0" w:line="240" w:lineRule="auto"/>
              <w:jc w:val="center"/>
              <w:rPr>
                <w:rFonts w:ascii="Arial" w:eastAsia="Times New Roman" w:hAnsi="Arial" w:cs="Arial"/>
                <w:b/>
                <w:bCs/>
                <w:sz w:val="20"/>
                <w:szCs w:val="20"/>
              </w:rPr>
            </w:pPr>
            <w:r w:rsidRPr="000346B3">
              <w:rPr>
                <w:rFonts w:ascii="Arial" w:hAnsi="Arial" w:cs="Arial"/>
                <w:b/>
                <w:bCs/>
                <w:i/>
                <w:iCs/>
                <w:sz w:val="20"/>
                <w:szCs w:val="20"/>
              </w:rPr>
              <w:t>Cartera improductiva/cartera total bruta</w:t>
            </w:r>
          </w:p>
        </w:tc>
      </w:tr>
      <w:tr w:rsidR="004E7BA5" w:rsidRPr="000346B3" w:rsidTr="004A0DC0">
        <w:trPr>
          <w:trHeight w:val="513"/>
          <w:tblCellSpacing w:w="20" w:type="dxa"/>
        </w:trPr>
        <w:tc>
          <w:tcPr>
            <w:tcW w:w="4959" w:type="pct"/>
            <w:gridSpan w:val="5"/>
            <w:shd w:val="clear" w:color="auto" w:fill="C6D9F1"/>
            <w:vAlign w:val="center"/>
            <w:hideMark/>
          </w:tcPr>
          <w:p w:rsidR="004E7BA5" w:rsidRPr="000346B3" w:rsidRDefault="004E7BA5" w:rsidP="00004233">
            <w:pPr>
              <w:jc w:val="center"/>
              <w:rPr>
                <w:rFonts w:ascii="Arial" w:eastAsia="Times New Roman" w:hAnsi="Arial" w:cs="Arial"/>
                <w:b/>
                <w:bCs/>
                <w:sz w:val="20"/>
                <w:szCs w:val="20"/>
              </w:rPr>
            </w:pPr>
            <w:r w:rsidRPr="000346B3">
              <w:rPr>
                <w:rFonts w:ascii="Arial" w:eastAsia="Times New Roman" w:hAnsi="Arial" w:cs="Arial"/>
                <w:b/>
                <w:bCs/>
                <w:sz w:val="20"/>
                <w:szCs w:val="20"/>
              </w:rPr>
              <w:t>DEFINICIÓN DE LAS VARIABLES RELACIONADAS</w:t>
            </w:r>
          </w:p>
        </w:tc>
      </w:tr>
      <w:tr w:rsidR="004E7BA5" w:rsidRPr="000346B3" w:rsidTr="000346B3">
        <w:trPr>
          <w:trHeight w:val="4967"/>
          <w:tblCellSpacing w:w="20" w:type="dxa"/>
        </w:trPr>
        <w:tc>
          <w:tcPr>
            <w:tcW w:w="4959" w:type="pct"/>
            <w:gridSpan w:val="5"/>
            <w:shd w:val="clear" w:color="auto" w:fill="auto"/>
          </w:tcPr>
          <w:p w:rsidR="00D323F9" w:rsidRPr="000346B3" w:rsidRDefault="00EB7BC7" w:rsidP="006578B6">
            <w:pPr>
              <w:spacing w:after="0" w:line="240" w:lineRule="auto"/>
              <w:jc w:val="both"/>
              <w:rPr>
                <w:rFonts w:ascii="Arial" w:hAnsi="Arial" w:cs="Arial"/>
                <w:sz w:val="20"/>
                <w:szCs w:val="20"/>
              </w:rPr>
            </w:pPr>
            <w:r w:rsidRPr="000346B3">
              <w:rPr>
                <w:rFonts w:ascii="Arial" w:hAnsi="Arial" w:cs="Arial"/>
                <w:sz w:val="20"/>
                <w:szCs w:val="20"/>
              </w:rPr>
              <w:t>El concepto de cartera en mora de los Indicadores de Solidez financiera corresponde al concepto de</w:t>
            </w:r>
            <w:r w:rsidR="00D323F9" w:rsidRPr="000346B3">
              <w:rPr>
                <w:rFonts w:ascii="Arial" w:hAnsi="Arial" w:cs="Arial"/>
                <w:sz w:val="20"/>
                <w:szCs w:val="20"/>
              </w:rPr>
              <w:t>:</w:t>
            </w:r>
            <w:r w:rsidRPr="000346B3">
              <w:rPr>
                <w:rFonts w:ascii="Arial" w:hAnsi="Arial" w:cs="Arial"/>
                <w:sz w:val="20"/>
                <w:szCs w:val="20"/>
              </w:rPr>
              <w:t xml:space="preserve"> </w:t>
            </w:r>
          </w:p>
          <w:p w:rsidR="00F64B4C" w:rsidRPr="000346B3" w:rsidRDefault="00F64B4C" w:rsidP="006578B6">
            <w:pPr>
              <w:spacing w:after="0" w:line="240" w:lineRule="auto"/>
              <w:jc w:val="both"/>
              <w:rPr>
                <w:rFonts w:ascii="Arial" w:hAnsi="Arial" w:cs="Arial"/>
                <w:sz w:val="20"/>
                <w:szCs w:val="20"/>
              </w:rPr>
            </w:pPr>
          </w:p>
          <w:p w:rsidR="00941BA5" w:rsidRPr="000346B3" w:rsidRDefault="00941BA5" w:rsidP="00F64B4C">
            <w:pPr>
              <w:pStyle w:val="Prrafodelista"/>
              <w:numPr>
                <w:ilvl w:val="0"/>
                <w:numId w:val="32"/>
              </w:numPr>
              <w:spacing w:after="0" w:line="240" w:lineRule="auto"/>
              <w:jc w:val="both"/>
              <w:rPr>
                <w:rFonts w:ascii="Arial" w:hAnsi="Arial" w:cs="Arial"/>
                <w:sz w:val="20"/>
                <w:szCs w:val="20"/>
              </w:rPr>
            </w:pPr>
            <w:r w:rsidRPr="000346B3">
              <w:rPr>
                <w:rFonts w:ascii="Arial" w:hAnsi="Arial" w:cs="Arial"/>
                <w:b/>
                <w:sz w:val="20"/>
                <w:szCs w:val="20"/>
              </w:rPr>
              <w:t xml:space="preserve">Cartera improductiva: </w:t>
            </w:r>
            <w:r w:rsidR="00EB7BC7" w:rsidRPr="000346B3">
              <w:rPr>
                <w:rFonts w:ascii="Arial" w:hAnsi="Arial" w:cs="Arial"/>
                <w:sz w:val="20"/>
                <w:szCs w:val="20"/>
              </w:rPr>
              <w:t>incluye</w:t>
            </w:r>
            <w:r w:rsidRPr="000346B3">
              <w:rPr>
                <w:rFonts w:ascii="Arial" w:hAnsi="Arial" w:cs="Arial"/>
                <w:sz w:val="20"/>
                <w:szCs w:val="20"/>
              </w:rPr>
              <w:t xml:space="preserve"> la cartera que no devenga intereses más la cartera vencida. </w:t>
            </w:r>
            <w:r w:rsidR="00F64B4C" w:rsidRPr="000346B3">
              <w:rPr>
                <w:rFonts w:ascii="Arial" w:hAnsi="Arial" w:cs="Arial"/>
                <w:sz w:val="20"/>
                <w:szCs w:val="20"/>
              </w:rPr>
              <w:t>(Catálogo Único de Cuentas, 2014)</w:t>
            </w:r>
          </w:p>
          <w:p w:rsidR="00F64B4C" w:rsidRPr="000346B3" w:rsidRDefault="00F64B4C" w:rsidP="00F64B4C">
            <w:pPr>
              <w:pStyle w:val="Prrafodelista"/>
              <w:spacing w:after="0" w:line="240" w:lineRule="auto"/>
              <w:ind w:left="360"/>
              <w:jc w:val="both"/>
              <w:rPr>
                <w:rFonts w:ascii="Arial" w:hAnsi="Arial" w:cs="Arial"/>
                <w:sz w:val="20"/>
                <w:szCs w:val="20"/>
              </w:rPr>
            </w:pPr>
          </w:p>
          <w:p w:rsidR="00941BA5" w:rsidRPr="000346B3" w:rsidRDefault="00941BA5" w:rsidP="00D323F9">
            <w:pPr>
              <w:pStyle w:val="Prrafodelista"/>
              <w:numPr>
                <w:ilvl w:val="0"/>
                <w:numId w:val="32"/>
              </w:numPr>
              <w:spacing w:after="0" w:line="240" w:lineRule="auto"/>
              <w:jc w:val="both"/>
              <w:rPr>
                <w:rFonts w:ascii="Arial" w:hAnsi="Arial" w:cs="Arial"/>
                <w:sz w:val="20"/>
                <w:szCs w:val="20"/>
              </w:rPr>
            </w:pPr>
            <w:r w:rsidRPr="000346B3">
              <w:rPr>
                <w:rFonts w:ascii="Arial" w:eastAsia="Times New Roman" w:hAnsi="Arial" w:cs="Arial"/>
                <w:b/>
                <w:sz w:val="20"/>
                <w:szCs w:val="20"/>
              </w:rPr>
              <w:t xml:space="preserve">Total Cartera Bruta: </w:t>
            </w:r>
            <w:r w:rsidRPr="000346B3">
              <w:rPr>
                <w:rFonts w:ascii="Arial" w:hAnsi="Arial" w:cs="Arial"/>
                <w:sz w:val="20"/>
                <w:szCs w:val="20"/>
              </w:rPr>
              <w:t xml:space="preserve">corresponden a la cartera de crédito (no </w:t>
            </w:r>
            <w:r w:rsidR="007C6ACE" w:rsidRPr="000346B3">
              <w:rPr>
                <w:rFonts w:ascii="Arial" w:hAnsi="Arial" w:cs="Arial"/>
                <w:sz w:val="20"/>
                <w:szCs w:val="20"/>
              </w:rPr>
              <w:t>incluye los fondos</w:t>
            </w:r>
            <w:r w:rsidRPr="000346B3">
              <w:rPr>
                <w:rFonts w:ascii="Arial" w:hAnsi="Arial" w:cs="Arial"/>
                <w:sz w:val="20"/>
                <w:szCs w:val="20"/>
              </w:rPr>
              <w:t xml:space="preserve"> interbancarios) por vencer, que no devenga intereses y vencida.</w:t>
            </w:r>
            <w:r w:rsidR="00D323F9" w:rsidRPr="000346B3">
              <w:rPr>
                <w:rFonts w:ascii="Arial" w:hAnsi="Arial" w:cs="Arial"/>
                <w:sz w:val="20"/>
                <w:szCs w:val="20"/>
              </w:rPr>
              <w:t xml:space="preserve"> (Catálogo Único de Cuentas, 2014)</w:t>
            </w:r>
          </w:p>
          <w:p w:rsidR="006578B6" w:rsidRPr="000346B3" w:rsidRDefault="006578B6" w:rsidP="006578B6">
            <w:pPr>
              <w:spacing w:after="0" w:line="240" w:lineRule="auto"/>
              <w:jc w:val="both"/>
              <w:rPr>
                <w:rFonts w:ascii="Arial" w:hAnsi="Arial" w:cs="Arial"/>
                <w:sz w:val="20"/>
                <w:szCs w:val="20"/>
              </w:rPr>
            </w:pPr>
          </w:p>
          <w:p w:rsidR="00D323F9" w:rsidRPr="000346B3" w:rsidRDefault="00941BA5" w:rsidP="00D323F9">
            <w:pPr>
              <w:pStyle w:val="Prrafodelista"/>
              <w:numPr>
                <w:ilvl w:val="0"/>
                <w:numId w:val="32"/>
              </w:numPr>
              <w:spacing w:after="0" w:line="240" w:lineRule="auto"/>
              <w:jc w:val="both"/>
              <w:rPr>
                <w:rFonts w:ascii="Arial" w:hAnsi="Arial" w:cs="Arial"/>
                <w:sz w:val="20"/>
                <w:szCs w:val="20"/>
              </w:rPr>
            </w:pPr>
            <w:r w:rsidRPr="000346B3">
              <w:rPr>
                <w:rFonts w:ascii="Arial" w:hAnsi="Arial" w:cs="Arial"/>
                <w:b/>
                <w:sz w:val="20"/>
                <w:szCs w:val="20"/>
              </w:rPr>
              <w:t>Cartera por vencer:</w:t>
            </w:r>
            <w:r w:rsidRPr="000346B3">
              <w:rPr>
                <w:rFonts w:ascii="Arial" w:hAnsi="Arial" w:cs="Arial"/>
                <w:sz w:val="20"/>
                <w:szCs w:val="20"/>
              </w:rPr>
              <w:t xml:space="preserve"> aquella cuyo plazo no ha vencido y aquella vencida hasta 60, 30 o 15 días posteriores a la fecha de vencimiento de la operación, según sea el caso, o de acuerdo a lo establecido en el respectivo contrato.</w:t>
            </w:r>
          </w:p>
          <w:p w:rsidR="00E93E59" w:rsidRDefault="00941BA5" w:rsidP="00F64B4C">
            <w:pPr>
              <w:pStyle w:val="Prrafodelista"/>
              <w:spacing w:after="0" w:line="240" w:lineRule="auto"/>
              <w:ind w:left="360"/>
              <w:jc w:val="both"/>
              <w:rPr>
                <w:rFonts w:ascii="Arial" w:hAnsi="Arial" w:cs="Arial"/>
                <w:sz w:val="20"/>
                <w:szCs w:val="20"/>
              </w:rPr>
            </w:pPr>
            <w:r w:rsidRPr="000346B3">
              <w:rPr>
                <w:rFonts w:ascii="Arial" w:hAnsi="Arial" w:cs="Arial"/>
                <w:sz w:val="20"/>
                <w:szCs w:val="20"/>
              </w:rPr>
              <w:t xml:space="preserve">Los créditos  que deban ser cancelados mediante cánones, cuotas o la </w:t>
            </w:r>
            <w:r w:rsidRPr="000346B3">
              <w:rPr>
                <w:rFonts w:ascii="Arial" w:hAnsi="Arial" w:cs="Arial"/>
                <w:sz w:val="20"/>
                <w:szCs w:val="20"/>
                <w:lang w:val="es-ES_tradnl"/>
              </w:rPr>
              <w:t xml:space="preserve">porción del capital que forma </w:t>
            </w:r>
            <w:r w:rsidR="00D323F9" w:rsidRPr="000346B3">
              <w:rPr>
                <w:rFonts w:ascii="Arial" w:hAnsi="Arial" w:cs="Arial"/>
                <w:sz w:val="20"/>
                <w:szCs w:val="20"/>
                <w:lang w:val="es-ES_tradnl"/>
              </w:rPr>
              <w:t xml:space="preserve">    </w:t>
            </w:r>
            <w:r w:rsidRPr="000346B3">
              <w:rPr>
                <w:rFonts w:ascii="Arial" w:hAnsi="Arial" w:cs="Arial"/>
                <w:sz w:val="20"/>
                <w:szCs w:val="20"/>
                <w:lang w:val="es-ES_tradnl"/>
              </w:rPr>
              <w:t>parte de los dividendos</w:t>
            </w:r>
            <w:r w:rsidRPr="000346B3">
              <w:rPr>
                <w:rFonts w:ascii="Arial" w:hAnsi="Arial" w:cs="Arial"/>
                <w:sz w:val="20"/>
                <w:szCs w:val="20"/>
              </w:rPr>
              <w:t xml:space="preserve">, se registrarán según la maduración de cada canon, cuota o cuota de dividendo.  Cuando exista una porción del capital de estos créditos, vencida hasta 60, 30 o 15 días, según sea el caso, dicha porción se transferirá a cartera vencida y simultáneamente el resto del capital del crédito pasará a cartera que no devenga intereses, respetando las condiciones de maduración del crédito.  Estas operaciones registradas en tal cuenta no generarán intereses. Igualmente, cuando existan, cánones, cuotas o cuotas de dividendos de los créditos registrados en cartera que no devenga intereses, vencidos por más de quince, treinta o sesenta días, según sea el caso, dichos cánones, cuotas o cuotas de dividendos se </w:t>
            </w:r>
            <w:r w:rsidR="0068736A" w:rsidRPr="000346B3">
              <w:rPr>
                <w:rFonts w:ascii="Arial" w:hAnsi="Arial" w:cs="Arial"/>
                <w:sz w:val="20"/>
                <w:szCs w:val="20"/>
              </w:rPr>
              <w:t>transferirán a cartera vencida.</w:t>
            </w:r>
            <w:r w:rsidR="00F64B4C" w:rsidRPr="000346B3">
              <w:rPr>
                <w:rFonts w:ascii="Arial" w:hAnsi="Arial" w:cs="Arial"/>
                <w:sz w:val="20"/>
                <w:szCs w:val="20"/>
              </w:rPr>
              <w:t xml:space="preserve"> (Codificación de Resoluciones de la SB y de la Junta Bancaria)</w:t>
            </w:r>
          </w:p>
          <w:p w:rsidR="00734D2F" w:rsidRDefault="00734D2F" w:rsidP="00F64B4C">
            <w:pPr>
              <w:pStyle w:val="Prrafodelista"/>
              <w:spacing w:after="0" w:line="240" w:lineRule="auto"/>
              <w:ind w:left="360"/>
              <w:jc w:val="both"/>
              <w:rPr>
                <w:rFonts w:ascii="Arial" w:hAnsi="Arial" w:cs="Arial"/>
                <w:sz w:val="20"/>
                <w:szCs w:val="20"/>
              </w:rPr>
            </w:pPr>
          </w:p>
          <w:p w:rsidR="00734D2F" w:rsidRDefault="00734D2F" w:rsidP="00F64B4C">
            <w:pPr>
              <w:pStyle w:val="Prrafodelista"/>
              <w:spacing w:after="0" w:line="240" w:lineRule="auto"/>
              <w:ind w:left="360"/>
              <w:jc w:val="both"/>
              <w:rPr>
                <w:rFonts w:ascii="Arial" w:hAnsi="Arial" w:cs="Arial"/>
                <w:sz w:val="20"/>
                <w:szCs w:val="20"/>
              </w:rPr>
            </w:pPr>
          </w:p>
          <w:p w:rsidR="00734D2F" w:rsidRPr="000346B3" w:rsidRDefault="00734D2F" w:rsidP="00F64B4C">
            <w:pPr>
              <w:pStyle w:val="Prrafodelista"/>
              <w:spacing w:after="0" w:line="240" w:lineRule="auto"/>
              <w:ind w:left="360"/>
              <w:jc w:val="both"/>
              <w:rPr>
                <w:rFonts w:ascii="Arial" w:hAnsi="Arial" w:cs="Arial"/>
                <w:sz w:val="20"/>
                <w:szCs w:val="20"/>
              </w:rPr>
            </w:pPr>
          </w:p>
        </w:tc>
      </w:tr>
      <w:tr w:rsidR="004E7BA5" w:rsidRPr="000346B3" w:rsidTr="004A0DC0">
        <w:trPr>
          <w:trHeight w:val="513"/>
          <w:tblCellSpacing w:w="20" w:type="dxa"/>
        </w:trPr>
        <w:tc>
          <w:tcPr>
            <w:tcW w:w="4959" w:type="pct"/>
            <w:gridSpan w:val="5"/>
            <w:shd w:val="clear" w:color="auto" w:fill="C6D9F1"/>
            <w:vAlign w:val="center"/>
            <w:hideMark/>
          </w:tcPr>
          <w:p w:rsidR="004E7BA5" w:rsidRPr="000346B3" w:rsidRDefault="004E7BA5" w:rsidP="00004233">
            <w:pPr>
              <w:jc w:val="center"/>
              <w:rPr>
                <w:rFonts w:ascii="Arial" w:eastAsia="Times New Roman" w:hAnsi="Arial" w:cs="Arial"/>
                <w:b/>
                <w:bCs/>
                <w:sz w:val="20"/>
                <w:szCs w:val="20"/>
              </w:rPr>
            </w:pPr>
            <w:r w:rsidRPr="000346B3">
              <w:rPr>
                <w:rFonts w:ascii="Arial" w:eastAsia="Times New Roman" w:hAnsi="Arial" w:cs="Arial"/>
                <w:b/>
                <w:bCs/>
                <w:sz w:val="20"/>
                <w:szCs w:val="20"/>
              </w:rPr>
              <w:lastRenderedPageBreak/>
              <w:t>METODOLOGÍA DE CÁLCULO</w:t>
            </w:r>
          </w:p>
        </w:tc>
      </w:tr>
      <w:tr w:rsidR="004E7BA5" w:rsidRPr="000346B3" w:rsidTr="004A0DC0">
        <w:trPr>
          <w:trHeight w:val="513"/>
          <w:tblCellSpacing w:w="20" w:type="dxa"/>
        </w:trPr>
        <w:tc>
          <w:tcPr>
            <w:tcW w:w="4959" w:type="pct"/>
            <w:gridSpan w:val="5"/>
            <w:tcBorders>
              <w:top w:val="outset" w:sz="6" w:space="0" w:color="auto"/>
              <w:bottom w:val="outset" w:sz="6" w:space="0" w:color="auto"/>
            </w:tcBorders>
            <w:shd w:val="clear" w:color="auto" w:fill="FFFFFF"/>
            <w:vAlign w:val="center"/>
            <w:hideMark/>
          </w:tcPr>
          <w:p w:rsidR="007A78E9" w:rsidRPr="000346B3" w:rsidRDefault="007A78E9" w:rsidP="004A6C98">
            <w:pPr>
              <w:autoSpaceDE w:val="0"/>
              <w:autoSpaceDN w:val="0"/>
              <w:adjustRightInd w:val="0"/>
              <w:spacing w:after="0" w:line="240" w:lineRule="auto"/>
              <w:rPr>
                <w:rFonts w:ascii="Arial" w:hAnsi="Arial" w:cs="Arial"/>
                <w:sz w:val="20"/>
                <w:szCs w:val="20"/>
              </w:rPr>
            </w:pPr>
          </w:p>
          <w:p w:rsidR="004A6C98" w:rsidRPr="000346B3" w:rsidRDefault="004A6C98" w:rsidP="004A6C98">
            <w:pPr>
              <w:autoSpaceDE w:val="0"/>
              <w:autoSpaceDN w:val="0"/>
              <w:adjustRightInd w:val="0"/>
              <w:spacing w:after="0" w:line="240" w:lineRule="auto"/>
              <w:rPr>
                <w:rFonts w:ascii="Arial" w:hAnsi="Arial" w:cs="Arial"/>
                <w:sz w:val="20"/>
                <w:szCs w:val="20"/>
              </w:rPr>
            </w:pPr>
            <w:r w:rsidRPr="000346B3">
              <w:rPr>
                <w:rFonts w:ascii="Arial" w:hAnsi="Arial" w:cs="Arial"/>
                <w:sz w:val="20"/>
                <w:szCs w:val="20"/>
              </w:rPr>
              <w:t xml:space="preserve">a) agregando datos de </w:t>
            </w:r>
            <w:r w:rsidR="00BA6FAD" w:rsidRPr="000346B3">
              <w:rPr>
                <w:rFonts w:ascii="Arial" w:hAnsi="Arial" w:cs="Arial"/>
                <w:sz w:val="20"/>
                <w:szCs w:val="20"/>
              </w:rPr>
              <w:t>cartera improductiva</w:t>
            </w:r>
            <w:r w:rsidR="00941BA5" w:rsidRPr="000346B3">
              <w:rPr>
                <w:rFonts w:ascii="Arial" w:hAnsi="Arial" w:cs="Arial"/>
                <w:sz w:val="20"/>
                <w:szCs w:val="20"/>
              </w:rPr>
              <w:t xml:space="preserve"> (no devenga intereses y vencida</w:t>
            </w:r>
            <w:r w:rsidR="007C6ACE" w:rsidRPr="000346B3">
              <w:rPr>
                <w:rFonts w:ascii="Arial" w:hAnsi="Arial" w:cs="Arial"/>
                <w:sz w:val="20"/>
                <w:szCs w:val="20"/>
              </w:rPr>
              <w:t>)</w:t>
            </w:r>
            <w:r w:rsidR="00D323F9" w:rsidRPr="000346B3">
              <w:rPr>
                <w:rFonts w:ascii="Arial" w:hAnsi="Arial" w:cs="Arial"/>
                <w:sz w:val="20"/>
                <w:szCs w:val="20"/>
              </w:rPr>
              <w:t xml:space="preserve"> </w:t>
            </w:r>
            <w:r w:rsidRPr="000346B3">
              <w:rPr>
                <w:rFonts w:ascii="Arial" w:hAnsi="Arial" w:cs="Arial"/>
                <w:sz w:val="20"/>
                <w:szCs w:val="20"/>
              </w:rPr>
              <w:t xml:space="preserve"> d</w:t>
            </w:r>
            <w:r w:rsidR="00D323F9" w:rsidRPr="000346B3">
              <w:rPr>
                <w:rFonts w:ascii="Arial" w:hAnsi="Arial" w:cs="Arial"/>
                <w:sz w:val="20"/>
                <w:szCs w:val="20"/>
              </w:rPr>
              <w:t>e las instituciones financieras:</w:t>
            </w:r>
          </w:p>
          <w:p w:rsidR="0068736A" w:rsidRPr="000346B3" w:rsidRDefault="0068736A" w:rsidP="0068736A">
            <w:pPr>
              <w:spacing w:line="240" w:lineRule="auto"/>
              <w:contextualSpacing/>
              <w:rPr>
                <w:rFonts w:ascii="Arial" w:hAnsi="Arial" w:cs="Arial"/>
              </w:rPr>
            </w:pPr>
          </w:p>
          <w:p w:rsidR="0068736A" w:rsidRPr="000346B3" w:rsidRDefault="0068736A" w:rsidP="0068736A">
            <w:pPr>
              <w:spacing w:line="240" w:lineRule="auto"/>
              <w:contextualSpacing/>
              <w:rPr>
                <w:rFonts w:ascii="Arial" w:hAnsi="Arial" w:cs="Arial"/>
              </w:rPr>
            </w:pPr>
            <w:r w:rsidRPr="000346B3">
              <w:rPr>
                <w:rFonts w:ascii="Arial" w:hAnsi="Arial" w:cs="Arial"/>
              </w:rPr>
              <w:t>+CTA 1425+CTA 1433+CTA 1441+CTA 1449+CTA 1457+CTA 1465+CTA 1426+CTA 1434+CTA 1442+CTA 1450+CTA 1458+CTA 1466+CTA 1427+CTA 1435+CTA 1443+ CTA 1451+CTA 1459+CTA 1467+CTA 1428+CTA 1436+CTA 1444+CTA 1452+CTA 1460+CTA 1468+CTA 1429+CTA 1437+CTA 1445+CTA 1453+CTA 1461+CTA 1469+CTA 1430+CTA 1438+CTA 1446+CTA 1454+CTA 1462+CTA 1470+CTA 1431+CTA 1439+CTA 1447+CTA 1455+CTA 1463+CTA 1471+CTA 1432+CTA 1440+CTA 1448</w:t>
            </w:r>
          </w:p>
          <w:p w:rsidR="00F60D80" w:rsidRPr="000346B3" w:rsidRDefault="0068736A" w:rsidP="0068736A">
            <w:pPr>
              <w:autoSpaceDE w:val="0"/>
              <w:autoSpaceDN w:val="0"/>
              <w:adjustRightInd w:val="0"/>
              <w:spacing w:after="0" w:line="240" w:lineRule="auto"/>
              <w:rPr>
                <w:rFonts w:ascii="Arial" w:eastAsia="Times New Roman" w:hAnsi="Arial" w:cs="Arial"/>
                <w:sz w:val="20"/>
                <w:szCs w:val="20"/>
              </w:rPr>
            </w:pPr>
            <w:r w:rsidRPr="000346B3">
              <w:rPr>
                <w:rFonts w:ascii="Arial" w:hAnsi="Arial" w:cs="Arial"/>
              </w:rPr>
              <w:t>+CTA 1456+CTA 1464+CTA 1472+CTA 1479+CTA 1481+CTA 1483+CTA 1485+CTA 1487+CTA 1489+CTA 1480+CTA 1482+CTA 1484+CTA 1486+CTA 1488+CTA 1490</w:t>
            </w:r>
          </w:p>
          <w:p w:rsidR="0068736A" w:rsidRPr="000346B3" w:rsidRDefault="0068736A" w:rsidP="00B3511E">
            <w:pPr>
              <w:autoSpaceDE w:val="0"/>
              <w:autoSpaceDN w:val="0"/>
              <w:adjustRightInd w:val="0"/>
              <w:spacing w:after="0" w:line="240" w:lineRule="auto"/>
              <w:rPr>
                <w:rFonts w:ascii="Arial" w:hAnsi="Arial" w:cs="Arial"/>
                <w:sz w:val="20"/>
                <w:szCs w:val="20"/>
              </w:rPr>
            </w:pPr>
          </w:p>
          <w:p w:rsidR="00B3511E" w:rsidRPr="000346B3" w:rsidRDefault="00B3511E" w:rsidP="00B3511E">
            <w:pPr>
              <w:autoSpaceDE w:val="0"/>
              <w:autoSpaceDN w:val="0"/>
              <w:adjustRightInd w:val="0"/>
              <w:spacing w:after="0" w:line="240" w:lineRule="auto"/>
              <w:rPr>
                <w:rFonts w:ascii="Arial" w:hAnsi="Arial" w:cs="Arial"/>
                <w:sz w:val="20"/>
                <w:szCs w:val="20"/>
              </w:rPr>
            </w:pPr>
            <w:r w:rsidRPr="000346B3">
              <w:rPr>
                <w:rFonts w:ascii="Arial" w:hAnsi="Arial" w:cs="Arial"/>
                <w:sz w:val="20"/>
                <w:szCs w:val="20"/>
              </w:rPr>
              <w:t>b) agregando los valores de cartera total bruta de las instituciones financieras</w:t>
            </w:r>
          </w:p>
          <w:p w:rsidR="00B3511E" w:rsidRPr="000346B3" w:rsidRDefault="007C6ACE" w:rsidP="00B3511E">
            <w:pPr>
              <w:autoSpaceDE w:val="0"/>
              <w:autoSpaceDN w:val="0"/>
              <w:adjustRightInd w:val="0"/>
              <w:spacing w:after="0" w:line="240" w:lineRule="auto"/>
              <w:jc w:val="center"/>
              <w:rPr>
                <w:rFonts w:ascii="Arial" w:hAnsi="Arial" w:cs="Arial"/>
                <w:sz w:val="20"/>
                <w:szCs w:val="20"/>
              </w:rPr>
            </w:pPr>
            <w:r w:rsidRPr="000346B3">
              <w:rPr>
                <w:rFonts w:ascii="Arial" w:hAnsi="Arial" w:cs="Arial"/>
                <w:sz w:val="20"/>
                <w:szCs w:val="20"/>
              </w:rPr>
              <w:t>(14 – 1499)</w:t>
            </w:r>
          </w:p>
          <w:p w:rsidR="00B3511E" w:rsidRPr="000346B3" w:rsidRDefault="00B3511E" w:rsidP="00B3511E">
            <w:pPr>
              <w:autoSpaceDE w:val="0"/>
              <w:autoSpaceDN w:val="0"/>
              <w:adjustRightInd w:val="0"/>
              <w:spacing w:after="0" w:line="240" w:lineRule="auto"/>
              <w:rPr>
                <w:rFonts w:ascii="Arial" w:hAnsi="Arial" w:cs="Arial"/>
                <w:sz w:val="20"/>
                <w:szCs w:val="20"/>
              </w:rPr>
            </w:pPr>
            <w:r w:rsidRPr="000346B3">
              <w:rPr>
                <w:rFonts w:ascii="Arial" w:hAnsi="Arial" w:cs="Arial"/>
                <w:sz w:val="20"/>
                <w:szCs w:val="20"/>
              </w:rPr>
              <w:t xml:space="preserve">c) se obtiene la relación dividiendo a) entre b) </w:t>
            </w:r>
          </w:p>
          <w:p w:rsidR="00B3511E" w:rsidRPr="000346B3" w:rsidRDefault="00B3511E" w:rsidP="00F60D80">
            <w:pPr>
              <w:spacing w:line="240" w:lineRule="auto"/>
              <w:contextualSpacing/>
              <w:rPr>
                <w:rFonts w:ascii="Arial" w:hAnsi="Arial" w:cs="Arial"/>
                <w:sz w:val="20"/>
                <w:szCs w:val="20"/>
              </w:rPr>
            </w:pPr>
          </w:p>
        </w:tc>
      </w:tr>
      <w:tr w:rsidR="004E7BA5" w:rsidRPr="000346B3" w:rsidTr="003A2829">
        <w:trPr>
          <w:trHeight w:val="677"/>
          <w:tblCellSpacing w:w="20" w:type="dxa"/>
        </w:trPr>
        <w:tc>
          <w:tcPr>
            <w:tcW w:w="4959" w:type="pct"/>
            <w:gridSpan w:val="5"/>
            <w:shd w:val="clear" w:color="auto" w:fill="C6D9F1"/>
            <w:vAlign w:val="center"/>
          </w:tcPr>
          <w:p w:rsidR="004E7BA5" w:rsidRPr="000346B3" w:rsidRDefault="004E7BA5" w:rsidP="003A2829">
            <w:pPr>
              <w:jc w:val="center"/>
              <w:rPr>
                <w:rFonts w:ascii="Arial" w:eastAsia="Times New Roman" w:hAnsi="Arial" w:cs="Arial"/>
                <w:sz w:val="20"/>
                <w:szCs w:val="20"/>
              </w:rPr>
            </w:pPr>
            <w:r w:rsidRPr="000346B3">
              <w:rPr>
                <w:rFonts w:ascii="Arial" w:eastAsia="Times New Roman" w:hAnsi="Arial" w:cs="Arial"/>
                <w:b/>
                <w:bCs/>
                <w:sz w:val="20"/>
                <w:szCs w:val="20"/>
              </w:rPr>
              <w:t>LIMITACIONES TÉCNICAS</w:t>
            </w:r>
          </w:p>
        </w:tc>
      </w:tr>
      <w:tr w:rsidR="004E7BA5" w:rsidRPr="000346B3" w:rsidTr="003A2829">
        <w:trPr>
          <w:trHeight w:val="677"/>
          <w:tblCellSpacing w:w="20" w:type="dxa"/>
        </w:trPr>
        <w:tc>
          <w:tcPr>
            <w:tcW w:w="4959" w:type="pct"/>
            <w:gridSpan w:val="5"/>
            <w:shd w:val="clear" w:color="auto" w:fill="auto"/>
            <w:vAlign w:val="center"/>
            <w:hideMark/>
          </w:tcPr>
          <w:p w:rsidR="00F60D80" w:rsidRPr="000346B3" w:rsidRDefault="00F60D80" w:rsidP="003152F2">
            <w:pPr>
              <w:jc w:val="both"/>
              <w:rPr>
                <w:rFonts w:ascii="Arial" w:hAnsi="Arial" w:cs="Arial"/>
                <w:color w:val="000000" w:themeColor="text1"/>
                <w:sz w:val="20"/>
                <w:szCs w:val="20"/>
                <w:lang w:val="es-ES_tradnl"/>
              </w:rPr>
            </w:pPr>
            <w:r w:rsidRPr="000346B3">
              <w:rPr>
                <w:rFonts w:ascii="Arial" w:hAnsi="Arial" w:cs="Arial"/>
                <w:color w:val="000000" w:themeColor="text1"/>
                <w:sz w:val="20"/>
                <w:szCs w:val="20"/>
                <w:lang w:val="es-ES_tradnl"/>
              </w:rPr>
              <w:t xml:space="preserve">La fórmula corresponde el </w:t>
            </w:r>
            <w:r w:rsidR="00F64B4C" w:rsidRPr="000346B3">
              <w:rPr>
                <w:rFonts w:ascii="Arial" w:hAnsi="Arial" w:cs="Arial"/>
                <w:color w:val="000000" w:themeColor="text1"/>
                <w:sz w:val="20"/>
                <w:szCs w:val="20"/>
                <w:lang w:val="es-ES_tradnl"/>
              </w:rPr>
              <w:t>Catálogo Único de Cuentas (</w:t>
            </w:r>
            <w:r w:rsidRPr="000346B3">
              <w:rPr>
                <w:rFonts w:ascii="Arial" w:hAnsi="Arial" w:cs="Arial"/>
                <w:color w:val="000000" w:themeColor="text1"/>
                <w:sz w:val="20"/>
                <w:szCs w:val="20"/>
                <w:lang w:val="es-ES_tradnl"/>
              </w:rPr>
              <w:t>CUC</w:t>
            </w:r>
            <w:r w:rsidR="00F64B4C" w:rsidRPr="000346B3">
              <w:rPr>
                <w:rFonts w:ascii="Arial" w:hAnsi="Arial" w:cs="Arial"/>
                <w:color w:val="000000" w:themeColor="text1"/>
                <w:sz w:val="20"/>
                <w:szCs w:val="20"/>
                <w:lang w:val="es-ES_tradnl"/>
              </w:rPr>
              <w:t>)</w:t>
            </w:r>
            <w:r w:rsidRPr="000346B3">
              <w:rPr>
                <w:rFonts w:ascii="Arial" w:hAnsi="Arial" w:cs="Arial"/>
                <w:color w:val="000000" w:themeColor="text1"/>
                <w:sz w:val="20"/>
                <w:szCs w:val="20"/>
                <w:lang w:val="es-ES_tradnl"/>
              </w:rPr>
              <w:t xml:space="preserve"> vigente a partir de agosto de 2015</w:t>
            </w:r>
            <w:r w:rsidR="0073410E" w:rsidRPr="000346B3">
              <w:rPr>
                <w:rFonts w:ascii="Arial" w:hAnsi="Arial" w:cs="Arial"/>
                <w:color w:val="000000" w:themeColor="text1"/>
                <w:sz w:val="20"/>
                <w:szCs w:val="20"/>
                <w:lang w:val="es-ES_tradnl"/>
              </w:rPr>
              <w:t>.</w:t>
            </w:r>
          </w:p>
          <w:p w:rsidR="00F64B4C" w:rsidRPr="000346B3" w:rsidRDefault="00F64B4C" w:rsidP="00F64B4C">
            <w:pPr>
              <w:jc w:val="both"/>
              <w:rPr>
                <w:rFonts w:ascii="Arial" w:hAnsi="Arial" w:cs="Arial"/>
                <w:sz w:val="20"/>
                <w:szCs w:val="20"/>
                <w:lang w:val="es-ES_tradnl"/>
              </w:rPr>
            </w:pPr>
            <w:r w:rsidRPr="000346B3">
              <w:rPr>
                <w:rFonts w:ascii="Arial" w:hAnsi="Arial" w:cs="Arial"/>
                <w:sz w:val="20"/>
                <w:szCs w:val="20"/>
                <w:lang w:val="es-ES_tradnl"/>
              </w:rPr>
              <w:t>Este ratio conjuntamente con otros Indicadores de las Estadísticas de Solidez sirve únicamente para evaluar la salud del sistema financiero, no se recomienda como medida de seguimiento de la meta 10.5 de los indicadores ODS.</w:t>
            </w:r>
          </w:p>
          <w:p w:rsidR="00F64B4C" w:rsidRPr="000346B3" w:rsidRDefault="00F64B4C" w:rsidP="00F64B4C">
            <w:pPr>
              <w:jc w:val="both"/>
              <w:rPr>
                <w:rFonts w:ascii="Arial" w:hAnsi="Arial" w:cs="Arial"/>
                <w:sz w:val="20"/>
                <w:szCs w:val="20"/>
                <w:lang w:val="es-ES_tradnl"/>
              </w:rPr>
            </w:pPr>
            <w:r w:rsidRPr="000346B3">
              <w:rPr>
                <w:rFonts w:ascii="Arial" w:hAnsi="Arial" w:cs="Arial"/>
                <w:sz w:val="20"/>
                <w:szCs w:val="20"/>
              </w:rPr>
              <w:t>“</w:t>
            </w:r>
            <w:r w:rsidRPr="000346B3">
              <w:rPr>
                <w:rFonts w:ascii="Arial" w:hAnsi="Arial" w:cs="Arial"/>
                <w:i/>
                <w:sz w:val="20"/>
                <w:szCs w:val="20"/>
                <w:lang w:val="es-ES_tradnl"/>
              </w:rPr>
              <w:t>10.5 Mejorar la regulación y la supervisión de los mercados financieros globales y las instituciones y fortalecer la aplicación de dichas normas.”</w:t>
            </w:r>
          </w:p>
          <w:p w:rsidR="00F64B4C" w:rsidRPr="000346B3" w:rsidRDefault="00F64B4C" w:rsidP="00F64B4C">
            <w:pPr>
              <w:autoSpaceDE w:val="0"/>
              <w:autoSpaceDN w:val="0"/>
              <w:adjustRightInd w:val="0"/>
              <w:spacing w:after="0" w:line="240" w:lineRule="auto"/>
              <w:jc w:val="both"/>
              <w:rPr>
                <w:rFonts w:ascii="Arial" w:hAnsi="Arial" w:cs="Arial"/>
                <w:i/>
                <w:sz w:val="20"/>
                <w:szCs w:val="20"/>
              </w:rPr>
            </w:pPr>
            <w:r w:rsidRPr="000346B3">
              <w:rPr>
                <w:rFonts w:ascii="Arial" w:hAnsi="Arial" w:cs="Arial"/>
                <w:i/>
                <w:sz w:val="20"/>
                <w:szCs w:val="20"/>
              </w:rPr>
              <w:t>“Un coeficiente en aumento puede ser una señal de deterioro de la calidad de la cartera de créditos, aunque….”</w:t>
            </w:r>
          </w:p>
          <w:p w:rsidR="00F64B4C" w:rsidRPr="000346B3" w:rsidRDefault="00F64B4C" w:rsidP="00F64B4C">
            <w:pPr>
              <w:autoSpaceDE w:val="0"/>
              <w:autoSpaceDN w:val="0"/>
              <w:adjustRightInd w:val="0"/>
              <w:spacing w:after="0" w:line="240" w:lineRule="auto"/>
              <w:jc w:val="both"/>
              <w:rPr>
                <w:rFonts w:ascii="Arial" w:hAnsi="Arial" w:cs="Arial"/>
                <w:i/>
                <w:sz w:val="20"/>
                <w:szCs w:val="20"/>
              </w:rPr>
            </w:pPr>
            <w:r w:rsidRPr="000346B3">
              <w:rPr>
                <w:rFonts w:ascii="Arial" w:hAnsi="Arial" w:cs="Arial"/>
                <w:i/>
                <w:sz w:val="20"/>
                <w:szCs w:val="20"/>
              </w:rPr>
              <w:t>“…puede compararse paralelamente con los indicadores del sector de las empresas no financieras, ya que, concretamente, el deterioro de la posición financiera de dichas empresas podría reflejarse en este coeficiente”</w:t>
            </w:r>
          </w:p>
          <w:p w:rsidR="00F64B4C" w:rsidRPr="000346B3" w:rsidRDefault="00F64B4C" w:rsidP="00F60D80">
            <w:pPr>
              <w:jc w:val="both"/>
              <w:rPr>
                <w:rFonts w:ascii="Arial" w:hAnsi="Arial" w:cs="Arial"/>
                <w:color w:val="000000" w:themeColor="text1"/>
                <w:sz w:val="20"/>
                <w:szCs w:val="20"/>
                <w:lang w:val="es-ES_tradnl"/>
              </w:rPr>
            </w:pPr>
          </w:p>
          <w:p w:rsidR="000752AE" w:rsidRPr="000346B3" w:rsidRDefault="0050183C" w:rsidP="00F60D80">
            <w:pPr>
              <w:jc w:val="both"/>
              <w:rPr>
                <w:rFonts w:ascii="Arial" w:hAnsi="Arial" w:cs="Arial"/>
                <w:color w:val="000000" w:themeColor="text1"/>
                <w:sz w:val="20"/>
                <w:szCs w:val="20"/>
                <w:lang w:val="es-ES_tradnl"/>
              </w:rPr>
            </w:pPr>
            <w:r w:rsidRPr="000346B3">
              <w:rPr>
                <w:rFonts w:ascii="Arial" w:hAnsi="Arial" w:cs="Arial"/>
                <w:color w:val="000000" w:themeColor="text1"/>
                <w:sz w:val="20"/>
                <w:szCs w:val="20"/>
                <w:lang w:val="es-ES_tradnl"/>
              </w:rPr>
              <w:t>Naciones Unidas dispone que se usen los Indicadores de Solidez para el seguimiento del objetivo 10.5 pero no ha especificado todavía cuales indicadores específicos deberán utilizarse de las Estadísticas de Solidez para monitorear la meta 10</w:t>
            </w:r>
            <w:r w:rsidR="00D323F9" w:rsidRPr="000346B3">
              <w:rPr>
                <w:rFonts w:ascii="Arial" w:hAnsi="Arial" w:cs="Arial"/>
                <w:color w:val="000000" w:themeColor="text1"/>
                <w:sz w:val="20"/>
                <w:szCs w:val="20"/>
                <w:lang w:val="es-ES_tradnl"/>
              </w:rPr>
              <w:t>.5.</w:t>
            </w:r>
            <w:r w:rsidR="007C6ACE" w:rsidRPr="000346B3">
              <w:rPr>
                <w:rFonts w:ascii="Arial" w:hAnsi="Arial" w:cs="Arial"/>
                <w:color w:val="000000" w:themeColor="text1"/>
                <w:sz w:val="20"/>
                <w:szCs w:val="20"/>
                <w:lang w:val="es-ES_tradnl"/>
              </w:rPr>
              <w:t xml:space="preserve"> Según correo de </w:t>
            </w:r>
            <w:proofErr w:type="spellStart"/>
            <w:r w:rsidR="007C6ACE" w:rsidRPr="000346B3">
              <w:rPr>
                <w:rFonts w:ascii="Arial" w:hAnsi="Arial" w:cs="Arial"/>
                <w:color w:val="000000" w:themeColor="text1"/>
                <w:sz w:val="20"/>
                <w:szCs w:val="20"/>
                <w:lang w:val="es-ES_tradnl"/>
              </w:rPr>
              <w:t>Benhamin</w:t>
            </w:r>
            <w:proofErr w:type="spellEnd"/>
            <w:r w:rsidR="007C6ACE" w:rsidRPr="000346B3">
              <w:rPr>
                <w:rFonts w:ascii="Arial" w:hAnsi="Arial" w:cs="Arial"/>
                <w:color w:val="000000" w:themeColor="text1"/>
                <w:sz w:val="20"/>
                <w:szCs w:val="20"/>
                <w:lang w:val="es-ES_tradnl"/>
              </w:rPr>
              <w:t xml:space="preserve"> Rae</w:t>
            </w:r>
            <w:r w:rsidRPr="000346B3">
              <w:rPr>
                <w:rFonts w:ascii="Arial" w:hAnsi="Arial" w:cs="Arial"/>
                <w:color w:val="000000" w:themeColor="text1"/>
                <w:sz w:val="20"/>
                <w:szCs w:val="20"/>
                <w:lang w:val="es-ES_tradnl"/>
              </w:rPr>
              <w:t xml:space="preserve"> de Naciones Unidas, la Comisión de Expertos de Indicadores ODS (integrada por varias agencias internacionales) está es</w:t>
            </w:r>
            <w:r w:rsidR="00D323F9" w:rsidRPr="000346B3">
              <w:rPr>
                <w:rFonts w:ascii="Arial" w:hAnsi="Arial" w:cs="Arial"/>
                <w:color w:val="000000" w:themeColor="text1"/>
                <w:sz w:val="20"/>
                <w:szCs w:val="20"/>
                <w:lang w:val="es-ES_tradnl"/>
              </w:rPr>
              <w:t>perando que el FMI determine qué</w:t>
            </w:r>
            <w:r w:rsidRPr="000346B3">
              <w:rPr>
                <w:rFonts w:ascii="Arial" w:hAnsi="Arial" w:cs="Arial"/>
                <w:color w:val="000000" w:themeColor="text1"/>
                <w:sz w:val="20"/>
                <w:szCs w:val="20"/>
                <w:lang w:val="es-ES_tradnl"/>
              </w:rPr>
              <w:t xml:space="preserve"> indicadores se deben usar para la meta 10.5.</w:t>
            </w:r>
          </w:p>
          <w:p w:rsidR="0050183C" w:rsidRPr="000346B3" w:rsidRDefault="0050183C" w:rsidP="00F60D80">
            <w:pPr>
              <w:jc w:val="both"/>
              <w:rPr>
                <w:rFonts w:ascii="Arial" w:eastAsia="Times New Roman" w:hAnsi="Arial" w:cs="Arial"/>
                <w:color w:val="000000" w:themeColor="text1"/>
              </w:rPr>
            </w:pPr>
            <w:r w:rsidRPr="000346B3">
              <w:rPr>
                <w:rFonts w:ascii="Arial" w:hAnsi="Arial" w:cs="Arial"/>
                <w:color w:val="000000" w:themeColor="text1"/>
                <w:sz w:val="20"/>
                <w:szCs w:val="20"/>
                <w:lang w:val="es-ES_tradnl"/>
              </w:rPr>
              <w:t>Los datos agregados desde el 2012 sólo cubre el sector financiero controlado por la SB.</w:t>
            </w:r>
          </w:p>
        </w:tc>
      </w:tr>
      <w:tr w:rsidR="004E7BA5" w:rsidRPr="000346B3" w:rsidTr="00734D2F">
        <w:trPr>
          <w:trHeight w:val="859"/>
          <w:tblCellSpacing w:w="20" w:type="dxa"/>
        </w:trPr>
        <w:tc>
          <w:tcPr>
            <w:tcW w:w="2392" w:type="pct"/>
            <w:gridSpan w:val="3"/>
            <w:shd w:val="clear" w:color="auto" w:fill="C6D9F1"/>
            <w:vAlign w:val="center"/>
          </w:tcPr>
          <w:p w:rsidR="004E7BA5" w:rsidRPr="000346B3" w:rsidRDefault="004E7BA5" w:rsidP="00F74C87">
            <w:pPr>
              <w:rPr>
                <w:rFonts w:ascii="Arial" w:eastAsia="Times New Roman" w:hAnsi="Arial" w:cs="Arial"/>
                <w:b/>
                <w:bCs/>
                <w:sz w:val="20"/>
                <w:szCs w:val="20"/>
              </w:rPr>
            </w:pPr>
            <w:r w:rsidRPr="000346B3">
              <w:rPr>
                <w:rFonts w:ascii="Arial" w:eastAsia="Times New Roman" w:hAnsi="Arial" w:cs="Arial"/>
                <w:b/>
                <w:bCs/>
                <w:sz w:val="20"/>
                <w:szCs w:val="20"/>
              </w:rPr>
              <w:t xml:space="preserve">UNIDAD DE MEDIDA O EXPRESIÓN DEL INDICADOR </w:t>
            </w:r>
          </w:p>
        </w:tc>
        <w:tc>
          <w:tcPr>
            <w:tcW w:w="2547" w:type="pct"/>
            <w:gridSpan w:val="2"/>
            <w:shd w:val="clear" w:color="auto" w:fill="auto"/>
            <w:vAlign w:val="center"/>
          </w:tcPr>
          <w:p w:rsidR="004E7BA5" w:rsidRPr="000346B3" w:rsidRDefault="004E7BA5" w:rsidP="00C26D32">
            <w:pPr>
              <w:jc w:val="both"/>
              <w:rPr>
                <w:rFonts w:ascii="Arial" w:eastAsia="Times New Roman" w:hAnsi="Arial" w:cs="Arial"/>
                <w:sz w:val="20"/>
                <w:szCs w:val="20"/>
              </w:rPr>
            </w:pPr>
            <w:r w:rsidRPr="000346B3">
              <w:rPr>
                <w:rFonts w:ascii="Arial" w:eastAsia="Times New Roman" w:hAnsi="Arial" w:cs="Arial"/>
                <w:sz w:val="20"/>
                <w:szCs w:val="20"/>
              </w:rPr>
              <w:t xml:space="preserve"> </w:t>
            </w:r>
            <w:r w:rsidR="00C10246" w:rsidRPr="000346B3">
              <w:rPr>
                <w:rFonts w:ascii="Arial" w:eastAsia="Times New Roman" w:hAnsi="Arial" w:cs="Arial"/>
                <w:sz w:val="20"/>
                <w:szCs w:val="20"/>
              </w:rPr>
              <w:t>Porcentaje.</w:t>
            </w:r>
          </w:p>
        </w:tc>
      </w:tr>
      <w:tr w:rsidR="004E7BA5" w:rsidRPr="000346B3" w:rsidTr="0068736A">
        <w:trPr>
          <w:trHeight w:val="630"/>
          <w:tblCellSpacing w:w="20" w:type="dxa"/>
        </w:trPr>
        <w:tc>
          <w:tcPr>
            <w:tcW w:w="2392" w:type="pct"/>
            <w:gridSpan w:val="3"/>
            <w:shd w:val="clear" w:color="auto" w:fill="C6D9F1"/>
            <w:vAlign w:val="center"/>
            <w:hideMark/>
          </w:tcPr>
          <w:p w:rsidR="004E7BA5" w:rsidRPr="000346B3" w:rsidRDefault="004E7BA5" w:rsidP="00004233">
            <w:pPr>
              <w:rPr>
                <w:rFonts w:ascii="Arial" w:eastAsia="Times New Roman" w:hAnsi="Arial" w:cs="Arial"/>
                <w:b/>
                <w:bCs/>
                <w:sz w:val="20"/>
                <w:szCs w:val="20"/>
              </w:rPr>
            </w:pPr>
            <w:r w:rsidRPr="000346B3">
              <w:rPr>
                <w:rFonts w:ascii="Arial" w:eastAsia="Times New Roman" w:hAnsi="Arial" w:cs="Arial"/>
                <w:b/>
                <w:bCs/>
                <w:sz w:val="20"/>
                <w:szCs w:val="20"/>
              </w:rPr>
              <w:lastRenderedPageBreak/>
              <w:t xml:space="preserve">                                                                                                                                                                                                                                               INTERPRETACIÓN DEL INDICADOR</w:t>
            </w:r>
          </w:p>
        </w:tc>
        <w:tc>
          <w:tcPr>
            <w:tcW w:w="2547" w:type="pct"/>
            <w:gridSpan w:val="2"/>
            <w:shd w:val="clear" w:color="auto" w:fill="auto"/>
            <w:vAlign w:val="center"/>
            <w:hideMark/>
          </w:tcPr>
          <w:p w:rsidR="00E437F7" w:rsidRPr="000346B3" w:rsidRDefault="00E556FA" w:rsidP="00790D20">
            <w:pPr>
              <w:autoSpaceDE w:val="0"/>
              <w:autoSpaceDN w:val="0"/>
              <w:adjustRightInd w:val="0"/>
              <w:spacing w:after="0" w:line="240" w:lineRule="auto"/>
              <w:jc w:val="both"/>
              <w:rPr>
                <w:rFonts w:ascii="Arial" w:hAnsi="Arial" w:cs="Arial"/>
                <w:sz w:val="20"/>
                <w:szCs w:val="20"/>
              </w:rPr>
            </w:pPr>
            <w:r>
              <w:rPr>
                <w:rFonts w:ascii="Arial" w:hAnsi="Arial" w:cs="Arial"/>
                <w:sz w:val="20"/>
                <w:szCs w:val="20"/>
                <w:lang w:val="es-ES_tradnl"/>
              </w:rPr>
              <w:t>E</w:t>
            </w:r>
            <w:proofErr w:type="spellStart"/>
            <w:r w:rsidRPr="000752AE">
              <w:rPr>
                <w:rFonts w:ascii="Arial" w:hAnsi="Arial" w:cs="Arial"/>
                <w:sz w:val="20"/>
                <w:szCs w:val="20"/>
              </w:rPr>
              <w:t>ste</w:t>
            </w:r>
            <w:proofErr w:type="spellEnd"/>
            <w:r w:rsidRPr="000752AE">
              <w:rPr>
                <w:rFonts w:ascii="Arial" w:hAnsi="Arial" w:cs="Arial"/>
                <w:sz w:val="20"/>
                <w:szCs w:val="20"/>
              </w:rPr>
              <w:t xml:space="preserve"> indic</w:t>
            </w:r>
            <w:r w:rsidRPr="00790D20">
              <w:rPr>
                <w:rFonts w:ascii="Arial" w:hAnsi="Arial" w:cs="Arial"/>
                <w:sz w:val="20"/>
                <w:szCs w:val="20"/>
              </w:rPr>
              <w:t>ador mide la porción de la cartera total que tiene cuotas vencidas por lo tanto  no genera</w:t>
            </w:r>
            <w:r w:rsidR="00790D20">
              <w:rPr>
                <w:rFonts w:ascii="Arial" w:hAnsi="Arial" w:cs="Arial"/>
                <w:sz w:val="20"/>
                <w:szCs w:val="20"/>
              </w:rPr>
              <w:t xml:space="preserve"> </w:t>
            </w:r>
            <w:r w:rsidRPr="00790D20">
              <w:rPr>
                <w:rFonts w:ascii="Arial" w:hAnsi="Arial" w:cs="Arial"/>
                <w:sz w:val="20"/>
                <w:szCs w:val="20"/>
              </w:rPr>
              <w:t>intereses ni ingresos</w:t>
            </w:r>
            <w:r w:rsidR="00790D20" w:rsidRPr="00790D20">
              <w:rPr>
                <w:rFonts w:ascii="Arial" w:hAnsi="Arial" w:cs="Arial"/>
                <w:sz w:val="20"/>
                <w:szCs w:val="20"/>
              </w:rPr>
              <w:t>, debe interpretarse</w:t>
            </w:r>
            <w:r w:rsidR="00790D20">
              <w:rPr>
                <w:rFonts w:ascii="Arial" w:hAnsi="Arial" w:cs="Arial"/>
                <w:sz w:val="20"/>
                <w:szCs w:val="20"/>
              </w:rPr>
              <w:t xml:space="preserve"> </w:t>
            </w:r>
            <w:r w:rsidR="00790D20" w:rsidRPr="00790D20">
              <w:rPr>
                <w:rFonts w:ascii="Arial" w:hAnsi="Arial" w:cs="Arial"/>
                <w:sz w:val="20"/>
                <w:szCs w:val="20"/>
              </w:rPr>
              <w:t>comparativamente</w:t>
            </w:r>
            <w:r w:rsidR="00790D20">
              <w:rPr>
                <w:rFonts w:ascii="Arial" w:hAnsi="Arial" w:cs="Arial"/>
                <w:sz w:val="20"/>
                <w:szCs w:val="20"/>
              </w:rPr>
              <w:t>, u</w:t>
            </w:r>
            <w:r w:rsidR="00790D20" w:rsidRPr="00790D20">
              <w:rPr>
                <w:rFonts w:ascii="Arial" w:hAnsi="Arial" w:cs="Arial"/>
                <w:sz w:val="20"/>
                <w:szCs w:val="20"/>
              </w:rPr>
              <w:t>n coeficiente en aumento puede ser</w:t>
            </w:r>
            <w:r w:rsidR="00790D20">
              <w:rPr>
                <w:rFonts w:ascii="Arial" w:hAnsi="Arial" w:cs="Arial"/>
                <w:sz w:val="20"/>
                <w:szCs w:val="20"/>
              </w:rPr>
              <w:t xml:space="preserve"> </w:t>
            </w:r>
            <w:r w:rsidR="00790D20" w:rsidRPr="00790D20">
              <w:rPr>
                <w:rFonts w:ascii="Arial" w:hAnsi="Arial" w:cs="Arial"/>
                <w:sz w:val="20"/>
                <w:szCs w:val="20"/>
              </w:rPr>
              <w:t>una señal de deterioro de la calidad de la cartera</w:t>
            </w:r>
            <w:r w:rsidR="00790D20">
              <w:rPr>
                <w:rFonts w:ascii="Arial" w:hAnsi="Arial" w:cs="Arial"/>
                <w:sz w:val="20"/>
                <w:szCs w:val="20"/>
              </w:rPr>
              <w:t xml:space="preserve"> </w:t>
            </w:r>
            <w:r w:rsidR="00790D20" w:rsidRPr="00790D20">
              <w:rPr>
                <w:rFonts w:ascii="Arial" w:hAnsi="Arial" w:cs="Arial"/>
                <w:sz w:val="20"/>
                <w:szCs w:val="20"/>
              </w:rPr>
              <w:t>de créditos</w:t>
            </w:r>
            <w:r w:rsidRPr="00790D20">
              <w:rPr>
                <w:rStyle w:val="Refdenotaalpie"/>
                <w:rFonts w:ascii="Arial" w:hAnsi="Arial" w:cs="Arial"/>
                <w:sz w:val="20"/>
                <w:szCs w:val="20"/>
              </w:rPr>
              <w:t xml:space="preserve"> </w:t>
            </w:r>
            <w:r w:rsidR="00734D2F" w:rsidRPr="00F20331">
              <w:rPr>
                <w:rStyle w:val="Refdenotaalpie"/>
                <w:rFonts w:ascii="Arial" w:hAnsi="Arial" w:cs="Arial"/>
                <w:sz w:val="20"/>
                <w:szCs w:val="20"/>
              </w:rPr>
              <w:footnoteReference w:id="3"/>
            </w:r>
            <w:r w:rsidR="000346B3" w:rsidRPr="00F20331">
              <w:rPr>
                <w:rFonts w:ascii="Arial" w:hAnsi="Arial" w:cs="Arial"/>
                <w:sz w:val="20"/>
                <w:szCs w:val="20"/>
              </w:rPr>
              <w:t>.</w:t>
            </w:r>
          </w:p>
        </w:tc>
      </w:tr>
      <w:tr w:rsidR="004E7BA5" w:rsidRPr="000346B3" w:rsidTr="00D323F9">
        <w:trPr>
          <w:trHeight w:val="1381"/>
          <w:tblCellSpacing w:w="20" w:type="dxa"/>
        </w:trPr>
        <w:tc>
          <w:tcPr>
            <w:tcW w:w="2392" w:type="pct"/>
            <w:gridSpan w:val="3"/>
            <w:shd w:val="clear" w:color="auto" w:fill="C6D9F1"/>
            <w:vAlign w:val="center"/>
            <w:hideMark/>
          </w:tcPr>
          <w:p w:rsidR="004E7BA5" w:rsidRPr="000346B3" w:rsidRDefault="004E7BA5" w:rsidP="00D323F9">
            <w:pPr>
              <w:rPr>
                <w:rFonts w:ascii="Arial" w:eastAsia="Times New Roman" w:hAnsi="Arial" w:cs="Arial"/>
                <w:b/>
                <w:bCs/>
                <w:sz w:val="20"/>
                <w:szCs w:val="20"/>
              </w:rPr>
            </w:pPr>
            <w:r w:rsidRPr="000346B3">
              <w:rPr>
                <w:rFonts w:ascii="Arial" w:eastAsia="Times New Roman" w:hAnsi="Arial" w:cs="Arial"/>
                <w:b/>
                <w:bCs/>
                <w:sz w:val="20"/>
                <w:szCs w:val="20"/>
              </w:rPr>
              <w:t xml:space="preserve">FUENTE DE DATOS </w:t>
            </w:r>
          </w:p>
        </w:tc>
        <w:tc>
          <w:tcPr>
            <w:tcW w:w="2547" w:type="pct"/>
            <w:gridSpan w:val="2"/>
            <w:shd w:val="clear" w:color="auto" w:fill="auto"/>
            <w:vAlign w:val="center"/>
            <w:hideMark/>
          </w:tcPr>
          <w:p w:rsidR="0068736A" w:rsidRDefault="00304F9F" w:rsidP="00790D20">
            <w:pPr>
              <w:pStyle w:val="NormalWeb"/>
              <w:spacing w:before="0" w:beforeAutospacing="0" w:after="0" w:afterAutospacing="0"/>
              <w:jc w:val="both"/>
              <w:rPr>
                <w:rFonts w:ascii="Arial" w:eastAsia="Calibri" w:hAnsi="Arial" w:cs="Arial"/>
                <w:iCs/>
                <w:color w:val="000000"/>
                <w:sz w:val="20"/>
                <w:szCs w:val="20"/>
                <w:lang w:val="es-EC" w:eastAsia="en-US"/>
              </w:rPr>
            </w:pPr>
            <w:r w:rsidRPr="000346B3">
              <w:rPr>
                <w:rFonts w:ascii="Arial" w:eastAsia="Calibri" w:hAnsi="Arial" w:cs="Arial"/>
                <w:iCs/>
                <w:color w:val="000000"/>
                <w:sz w:val="20"/>
                <w:szCs w:val="20"/>
                <w:lang w:val="es-EC" w:eastAsia="en-US"/>
              </w:rPr>
              <w:t>Estadística</w:t>
            </w:r>
            <w:r w:rsidR="004A6C98" w:rsidRPr="000346B3">
              <w:rPr>
                <w:rFonts w:ascii="Arial" w:eastAsia="Calibri" w:hAnsi="Arial" w:cs="Arial"/>
                <w:iCs/>
                <w:color w:val="000000"/>
                <w:sz w:val="20"/>
                <w:szCs w:val="20"/>
                <w:lang w:val="es-EC" w:eastAsia="en-US"/>
              </w:rPr>
              <w:t>s</w:t>
            </w:r>
            <w:r w:rsidRPr="000346B3">
              <w:rPr>
                <w:rFonts w:ascii="Arial" w:eastAsia="Calibri" w:hAnsi="Arial" w:cs="Arial"/>
                <w:iCs/>
                <w:color w:val="000000"/>
                <w:sz w:val="20"/>
                <w:szCs w:val="20"/>
                <w:lang w:val="es-EC" w:eastAsia="en-US"/>
              </w:rPr>
              <w:t xml:space="preserve"> de las </w:t>
            </w:r>
            <w:r w:rsidR="0068736A" w:rsidRPr="000346B3">
              <w:rPr>
                <w:rFonts w:ascii="Arial" w:eastAsia="Calibri" w:hAnsi="Arial" w:cs="Arial"/>
                <w:iCs/>
                <w:color w:val="000000"/>
                <w:sz w:val="20"/>
                <w:szCs w:val="20"/>
                <w:lang w:val="es-EC" w:eastAsia="en-US"/>
              </w:rPr>
              <w:t>Estructuras I</w:t>
            </w:r>
            <w:r w:rsidRPr="000346B3">
              <w:rPr>
                <w:rFonts w:ascii="Arial" w:eastAsia="Calibri" w:hAnsi="Arial" w:cs="Arial"/>
                <w:iCs/>
                <w:color w:val="000000"/>
                <w:sz w:val="20"/>
                <w:szCs w:val="20"/>
                <w:lang w:val="es-EC" w:eastAsia="en-US"/>
              </w:rPr>
              <w:t>ntegradas de Informaci</w:t>
            </w:r>
            <w:r w:rsidR="00CD2253" w:rsidRPr="000346B3">
              <w:rPr>
                <w:rFonts w:ascii="Arial" w:eastAsia="Calibri" w:hAnsi="Arial" w:cs="Arial"/>
                <w:iCs/>
                <w:color w:val="000000"/>
                <w:sz w:val="20"/>
                <w:szCs w:val="20"/>
                <w:lang w:val="es-EC" w:eastAsia="en-US"/>
              </w:rPr>
              <w:t>ón:</w:t>
            </w:r>
          </w:p>
          <w:p w:rsidR="000346B3" w:rsidRPr="000346B3" w:rsidRDefault="000346B3" w:rsidP="00790D20">
            <w:pPr>
              <w:pStyle w:val="NormalWeb"/>
              <w:spacing w:before="0" w:beforeAutospacing="0" w:after="0" w:afterAutospacing="0"/>
              <w:jc w:val="both"/>
              <w:rPr>
                <w:rFonts w:ascii="Arial" w:eastAsia="Calibri" w:hAnsi="Arial" w:cs="Arial"/>
                <w:iCs/>
                <w:color w:val="000000"/>
                <w:sz w:val="20"/>
                <w:szCs w:val="20"/>
                <w:lang w:val="es-EC" w:eastAsia="en-US"/>
              </w:rPr>
            </w:pPr>
          </w:p>
          <w:p w:rsidR="004E7BA5" w:rsidRDefault="004A6C98" w:rsidP="00790D20">
            <w:pPr>
              <w:pStyle w:val="NormalWeb"/>
              <w:spacing w:before="0" w:beforeAutospacing="0" w:after="0" w:afterAutospacing="0"/>
              <w:jc w:val="both"/>
              <w:rPr>
                <w:rFonts w:ascii="Arial" w:eastAsia="Calibri" w:hAnsi="Arial" w:cs="Arial"/>
                <w:iCs/>
                <w:color w:val="000000"/>
                <w:sz w:val="20"/>
                <w:szCs w:val="20"/>
                <w:lang w:val="es-EC" w:eastAsia="en-US"/>
              </w:rPr>
            </w:pPr>
            <w:r w:rsidRPr="000346B3">
              <w:rPr>
                <w:rFonts w:ascii="Arial" w:eastAsia="Calibri" w:hAnsi="Arial" w:cs="Arial"/>
                <w:iCs/>
                <w:color w:val="000000"/>
                <w:sz w:val="20"/>
                <w:szCs w:val="20"/>
                <w:lang w:val="es-EC" w:eastAsia="en-US"/>
              </w:rPr>
              <w:t xml:space="preserve">Datos Agregados de </w:t>
            </w:r>
            <w:r w:rsidR="0073410E" w:rsidRPr="000346B3">
              <w:rPr>
                <w:rFonts w:ascii="Arial" w:eastAsia="Calibri" w:hAnsi="Arial" w:cs="Arial"/>
                <w:iCs/>
                <w:color w:val="000000"/>
                <w:sz w:val="20"/>
                <w:szCs w:val="20"/>
                <w:lang w:val="es-EC" w:eastAsia="en-US"/>
              </w:rPr>
              <w:t>cartera improductiva y cartera bruta</w:t>
            </w:r>
            <w:r w:rsidRPr="000346B3">
              <w:rPr>
                <w:rFonts w:ascii="Arial" w:eastAsia="Calibri" w:hAnsi="Arial" w:cs="Arial"/>
                <w:iCs/>
                <w:color w:val="000000"/>
                <w:sz w:val="20"/>
                <w:szCs w:val="20"/>
                <w:lang w:val="es-EC" w:eastAsia="en-US"/>
              </w:rPr>
              <w:t xml:space="preserve"> para</w:t>
            </w:r>
            <w:r w:rsidR="0068736A" w:rsidRPr="000346B3">
              <w:rPr>
                <w:rFonts w:ascii="Arial" w:eastAsia="Calibri" w:hAnsi="Arial" w:cs="Arial"/>
                <w:iCs/>
                <w:color w:val="000000"/>
                <w:sz w:val="20"/>
                <w:szCs w:val="20"/>
                <w:lang w:val="es-EC" w:eastAsia="en-US"/>
              </w:rPr>
              <w:t xml:space="preserve"> las E</w:t>
            </w:r>
            <w:r w:rsidRPr="000346B3">
              <w:rPr>
                <w:rFonts w:ascii="Arial" w:eastAsia="Calibri" w:hAnsi="Arial" w:cs="Arial"/>
                <w:iCs/>
                <w:color w:val="000000"/>
                <w:sz w:val="20"/>
                <w:szCs w:val="20"/>
                <w:lang w:val="es-EC" w:eastAsia="en-US"/>
              </w:rPr>
              <w:t>stadísticas</w:t>
            </w:r>
            <w:r w:rsidR="0068736A" w:rsidRPr="000346B3">
              <w:rPr>
                <w:rFonts w:ascii="Arial" w:eastAsia="Calibri" w:hAnsi="Arial" w:cs="Arial"/>
                <w:iCs/>
                <w:color w:val="000000"/>
                <w:sz w:val="20"/>
                <w:szCs w:val="20"/>
                <w:lang w:val="es-EC" w:eastAsia="en-US"/>
              </w:rPr>
              <w:t xml:space="preserve"> de los I</w:t>
            </w:r>
            <w:r w:rsidRPr="000346B3">
              <w:rPr>
                <w:rFonts w:ascii="Arial" w:eastAsia="Calibri" w:hAnsi="Arial" w:cs="Arial"/>
                <w:iCs/>
                <w:color w:val="000000"/>
                <w:sz w:val="20"/>
                <w:szCs w:val="20"/>
                <w:lang w:val="es-EC" w:eastAsia="en-US"/>
              </w:rPr>
              <w:t xml:space="preserve">ndicadores de Solidez </w:t>
            </w:r>
            <w:r w:rsidR="0068736A" w:rsidRPr="000346B3">
              <w:rPr>
                <w:rFonts w:ascii="Arial" w:eastAsia="Calibri" w:hAnsi="Arial" w:cs="Arial"/>
                <w:iCs/>
                <w:color w:val="000000"/>
                <w:sz w:val="20"/>
                <w:szCs w:val="20"/>
                <w:lang w:val="es-EC" w:eastAsia="en-US"/>
              </w:rPr>
              <w:t>F</w:t>
            </w:r>
            <w:r w:rsidR="007C6ACE" w:rsidRPr="000346B3">
              <w:rPr>
                <w:rFonts w:ascii="Arial" w:eastAsia="Calibri" w:hAnsi="Arial" w:cs="Arial"/>
                <w:iCs/>
                <w:color w:val="000000"/>
                <w:sz w:val="20"/>
                <w:szCs w:val="20"/>
                <w:lang w:val="es-EC" w:eastAsia="en-US"/>
              </w:rPr>
              <w:t>inanciera</w:t>
            </w:r>
            <w:r w:rsidR="00734D2F">
              <w:rPr>
                <w:rFonts w:ascii="Arial" w:eastAsia="Calibri" w:hAnsi="Arial" w:cs="Arial"/>
                <w:iCs/>
                <w:color w:val="000000"/>
                <w:sz w:val="20"/>
                <w:szCs w:val="20"/>
                <w:lang w:val="es-EC" w:eastAsia="en-US"/>
              </w:rPr>
              <w:t xml:space="preserve"> de la Superintendencia de Bancos.</w:t>
            </w:r>
          </w:p>
          <w:p w:rsidR="00734D2F" w:rsidRPr="000346B3" w:rsidRDefault="00734D2F" w:rsidP="00790D20">
            <w:pPr>
              <w:pStyle w:val="NormalWeb"/>
              <w:spacing w:before="0" w:beforeAutospacing="0" w:after="0" w:afterAutospacing="0"/>
              <w:jc w:val="both"/>
              <w:rPr>
                <w:rFonts w:ascii="Arial" w:hAnsi="Arial" w:cs="Arial"/>
                <w:sz w:val="20"/>
                <w:szCs w:val="20"/>
                <w:lang w:val="es-EC"/>
              </w:rPr>
            </w:pPr>
          </w:p>
        </w:tc>
      </w:tr>
      <w:tr w:rsidR="004E7BA5" w:rsidRPr="000346B3" w:rsidTr="0068736A">
        <w:trPr>
          <w:trHeight w:val="741"/>
          <w:tblCellSpacing w:w="20" w:type="dxa"/>
        </w:trPr>
        <w:tc>
          <w:tcPr>
            <w:tcW w:w="2392" w:type="pct"/>
            <w:gridSpan w:val="3"/>
            <w:shd w:val="clear" w:color="auto" w:fill="C6D9F1"/>
            <w:vAlign w:val="center"/>
            <w:hideMark/>
          </w:tcPr>
          <w:p w:rsidR="004E7BA5" w:rsidRPr="000346B3" w:rsidRDefault="004E7BA5" w:rsidP="0059347C">
            <w:pPr>
              <w:rPr>
                <w:rFonts w:ascii="Arial" w:eastAsia="Times New Roman" w:hAnsi="Arial" w:cs="Arial"/>
                <w:b/>
                <w:bCs/>
                <w:sz w:val="20"/>
                <w:szCs w:val="20"/>
              </w:rPr>
            </w:pPr>
            <w:r w:rsidRPr="000346B3">
              <w:rPr>
                <w:rFonts w:ascii="Arial" w:eastAsia="Times New Roman" w:hAnsi="Arial" w:cs="Arial"/>
                <w:b/>
                <w:bCs/>
                <w:sz w:val="20"/>
                <w:szCs w:val="20"/>
              </w:rPr>
              <w:t xml:space="preserve">PERIODICIDAD DE REPORTE DEL INDICADOR </w:t>
            </w:r>
          </w:p>
        </w:tc>
        <w:tc>
          <w:tcPr>
            <w:tcW w:w="2547" w:type="pct"/>
            <w:gridSpan w:val="2"/>
            <w:shd w:val="clear" w:color="auto" w:fill="auto"/>
            <w:vAlign w:val="center"/>
            <w:hideMark/>
          </w:tcPr>
          <w:p w:rsidR="004E7BA5" w:rsidRPr="000346B3" w:rsidRDefault="00304F9F" w:rsidP="0059347C">
            <w:pPr>
              <w:jc w:val="both"/>
              <w:rPr>
                <w:rFonts w:ascii="Arial" w:eastAsia="Times New Roman" w:hAnsi="Arial" w:cs="Arial"/>
                <w:sz w:val="20"/>
                <w:szCs w:val="20"/>
              </w:rPr>
            </w:pPr>
            <w:r w:rsidRPr="000346B3">
              <w:rPr>
                <w:rFonts w:ascii="Arial" w:eastAsia="Times New Roman" w:hAnsi="Arial" w:cs="Arial"/>
                <w:sz w:val="20"/>
                <w:szCs w:val="20"/>
              </w:rPr>
              <w:t>Anual</w:t>
            </w:r>
          </w:p>
        </w:tc>
      </w:tr>
      <w:tr w:rsidR="004E7BA5" w:rsidRPr="000346B3" w:rsidTr="0068736A">
        <w:trPr>
          <w:trHeight w:val="513"/>
          <w:tblCellSpacing w:w="20" w:type="dxa"/>
        </w:trPr>
        <w:tc>
          <w:tcPr>
            <w:tcW w:w="2392" w:type="pct"/>
            <w:gridSpan w:val="3"/>
            <w:shd w:val="clear" w:color="auto" w:fill="C6D9F1"/>
            <w:vAlign w:val="center"/>
            <w:hideMark/>
          </w:tcPr>
          <w:p w:rsidR="004E7BA5" w:rsidRPr="000346B3" w:rsidRDefault="004E7BA5" w:rsidP="00004233">
            <w:pPr>
              <w:rPr>
                <w:rFonts w:ascii="Arial" w:eastAsia="Times New Roman" w:hAnsi="Arial" w:cs="Arial"/>
                <w:b/>
                <w:bCs/>
                <w:sz w:val="20"/>
                <w:szCs w:val="20"/>
              </w:rPr>
            </w:pPr>
            <w:r w:rsidRPr="000346B3">
              <w:rPr>
                <w:rFonts w:ascii="Arial" w:eastAsia="Times New Roman" w:hAnsi="Arial" w:cs="Arial"/>
                <w:b/>
                <w:bCs/>
                <w:sz w:val="20"/>
                <w:szCs w:val="20"/>
              </w:rPr>
              <w:t>DISPONIBILIDAD DE LOS DATOS</w:t>
            </w:r>
          </w:p>
        </w:tc>
        <w:tc>
          <w:tcPr>
            <w:tcW w:w="2547" w:type="pct"/>
            <w:gridSpan w:val="2"/>
            <w:shd w:val="clear" w:color="auto" w:fill="auto"/>
            <w:vAlign w:val="center"/>
            <w:hideMark/>
          </w:tcPr>
          <w:p w:rsidR="004E7BA5" w:rsidRPr="000346B3" w:rsidRDefault="007C6ACE" w:rsidP="00235176">
            <w:pPr>
              <w:jc w:val="both"/>
              <w:rPr>
                <w:rFonts w:ascii="Arial" w:eastAsia="Times New Roman" w:hAnsi="Arial" w:cs="Arial"/>
                <w:sz w:val="20"/>
                <w:szCs w:val="20"/>
              </w:rPr>
            </w:pPr>
            <w:r w:rsidRPr="000346B3">
              <w:rPr>
                <w:rFonts w:ascii="Arial" w:eastAsia="Times New Roman" w:hAnsi="Arial" w:cs="Arial"/>
                <w:sz w:val="20"/>
                <w:szCs w:val="20"/>
              </w:rPr>
              <w:t>Desde el año 2002</w:t>
            </w:r>
            <w:r w:rsidR="00D323F9" w:rsidRPr="000346B3">
              <w:rPr>
                <w:rFonts w:ascii="Arial" w:eastAsia="Times New Roman" w:hAnsi="Arial" w:cs="Arial"/>
                <w:sz w:val="20"/>
                <w:szCs w:val="20"/>
              </w:rPr>
              <w:t>,</w:t>
            </w:r>
            <w:r w:rsidRPr="000346B3">
              <w:rPr>
                <w:rFonts w:ascii="Arial" w:eastAsia="Times New Roman" w:hAnsi="Arial" w:cs="Arial"/>
                <w:sz w:val="20"/>
                <w:szCs w:val="20"/>
              </w:rPr>
              <w:t xml:space="preserve"> </w:t>
            </w:r>
            <w:r w:rsidR="0068736A" w:rsidRPr="000346B3">
              <w:rPr>
                <w:rFonts w:ascii="Arial" w:eastAsia="Times New Roman" w:hAnsi="Arial" w:cs="Arial"/>
                <w:sz w:val="20"/>
                <w:szCs w:val="20"/>
              </w:rPr>
              <w:t xml:space="preserve">con corte </w:t>
            </w:r>
            <w:r w:rsidRPr="000346B3">
              <w:rPr>
                <w:rFonts w:ascii="Arial" w:eastAsia="Times New Roman" w:hAnsi="Arial" w:cs="Arial"/>
                <w:sz w:val="20"/>
                <w:szCs w:val="20"/>
              </w:rPr>
              <w:t>al 31 de diciembre</w:t>
            </w:r>
            <w:r w:rsidR="0068736A" w:rsidRPr="000346B3">
              <w:rPr>
                <w:rFonts w:ascii="Arial" w:eastAsia="Times New Roman" w:hAnsi="Arial" w:cs="Arial"/>
                <w:sz w:val="20"/>
                <w:szCs w:val="20"/>
              </w:rPr>
              <w:t>.</w:t>
            </w:r>
          </w:p>
        </w:tc>
      </w:tr>
      <w:tr w:rsidR="004E7BA5" w:rsidRPr="000346B3" w:rsidTr="00D323F9">
        <w:trPr>
          <w:trHeight w:val="432"/>
          <w:tblCellSpacing w:w="20" w:type="dxa"/>
        </w:trPr>
        <w:tc>
          <w:tcPr>
            <w:tcW w:w="1057" w:type="pct"/>
            <w:vMerge w:val="restart"/>
            <w:tcBorders>
              <w:top w:val="outset" w:sz="6" w:space="0" w:color="auto"/>
              <w:right w:val="outset" w:sz="6" w:space="0" w:color="auto"/>
            </w:tcBorders>
            <w:shd w:val="clear" w:color="auto" w:fill="C6D9F1"/>
            <w:vAlign w:val="center"/>
          </w:tcPr>
          <w:p w:rsidR="004E7BA5" w:rsidRPr="000346B3" w:rsidRDefault="004E7BA5" w:rsidP="00004233">
            <w:pPr>
              <w:rPr>
                <w:rFonts w:ascii="Arial" w:eastAsia="Times New Roman" w:hAnsi="Arial" w:cs="Arial"/>
                <w:b/>
                <w:bCs/>
                <w:sz w:val="20"/>
                <w:szCs w:val="20"/>
              </w:rPr>
            </w:pPr>
            <w:r w:rsidRPr="000346B3">
              <w:rPr>
                <w:rFonts w:ascii="Arial" w:eastAsia="Times New Roman" w:hAnsi="Arial" w:cs="Arial"/>
                <w:b/>
                <w:bCs/>
                <w:sz w:val="20"/>
                <w:szCs w:val="20"/>
              </w:rPr>
              <w:t>NIVEL DE DESAGREGACIÓN</w:t>
            </w:r>
          </w:p>
        </w:tc>
        <w:tc>
          <w:tcPr>
            <w:tcW w:w="1315" w:type="pct"/>
            <w:gridSpan w:val="2"/>
            <w:tcBorders>
              <w:top w:val="outset" w:sz="6" w:space="0" w:color="auto"/>
              <w:left w:val="outset" w:sz="6" w:space="0" w:color="auto"/>
            </w:tcBorders>
            <w:shd w:val="clear" w:color="auto" w:fill="C6D9F1"/>
            <w:vAlign w:val="center"/>
          </w:tcPr>
          <w:p w:rsidR="004E7BA5" w:rsidRPr="000346B3" w:rsidRDefault="004E7BA5" w:rsidP="00004233">
            <w:pPr>
              <w:rPr>
                <w:rFonts w:ascii="Arial" w:eastAsia="Times New Roman" w:hAnsi="Arial" w:cs="Arial"/>
                <w:b/>
                <w:bCs/>
                <w:sz w:val="20"/>
                <w:szCs w:val="20"/>
              </w:rPr>
            </w:pPr>
            <w:r w:rsidRPr="000346B3">
              <w:rPr>
                <w:rFonts w:ascii="Arial" w:eastAsia="Times New Roman" w:hAnsi="Arial" w:cs="Arial"/>
                <w:b/>
                <w:bCs/>
                <w:sz w:val="20"/>
                <w:szCs w:val="20"/>
              </w:rPr>
              <w:t>GEOGRÁFICO</w:t>
            </w:r>
          </w:p>
        </w:tc>
        <w:tc>
          <w:tcPr>
            <w:tcW w:w="2547" w:type="pct"/>
            <w:gridSpan w:val="2"/>
            <w:shd w:val="clear" w:color="auto" w:fill="auto"/>
            <w:vAlign w:val="center"/>
          </w:tcPr>
          <w:p w:rsidR="004E7BA5" w:rsidRPr="000346B3" w:rsidRDefault="003C67EC" w:rsidP="000346B3">
            <w:pPr>
              <w:jc w:val="both"/>
              <w:rPr>
                <w:rFonts w:ascii="Arial" w:hAnsi="Arial" w:cs="Arial"/>
                <w:sz w:val="20"/>
                <w:szCs w:val="20"/>
                <w:lang w:eastAsia="en-US"/>
              </w:rPr>
            </w:pPr>
            <w:r w:rsidRPr="000346B3">
              <w:rPr>
                <w:rFonts w:ascii="Arial" w:hAnsi="Arial" w:cs="Arial"/>
                <w:sz w:val="20"/>
                <w:szCs w:val="20"/>
                <w:lang w:eastAsia="en-US"/>
              </w:rPr>
              <w:t>Nacional</w:t>
            </w:r>
            <w:r w:rsidR="000346B3" w:rsidRPr="000346B3">
              <w:rPr>
                <w:rStyle w:val="Refdenotaalpie"/>
                <w:rFonts w:ascii="Arial" w:hAnsi="Arial" w:cs="Arial"/>
                <w:sz w:val="20"/>
                <w:szCs w:val="20"/>
                <w:lang w:eastAsia="en-US"/>
              </w:rPr>
              <w:footnoteReference w:id="4"/>
            </w:r>
          </w:p>
        </w:tc>
      </w:tr>
      <w:tr w:rsidR="004E7BA5" w:rsidRPr="000346B3" w:rsidTr="00D323F9">
        <w:trPr>
          <w:trHeight w:val="326"/>
          <w:tblCellSpacing w:w="20" w:type="dxa"/>
        </w:trPr>
        <w:tc>
          <w:tcPr>
            <w:tcW w:w="1057" w:type="pct"/>
            <w:vMerge/>
            <w:tcBorders>
              <w:right w:val="outset" w:sz="6" w:space="0" w:color="auto"/>
            </w:tcBorders>
            <w:shd w:val="clear" w:color="auto" w:fill="C6D9F1"/>
            <w:vAlign w:val="center"/>
          </w:tcPr>
          <w:p w:rsidR="004E7BA5" w:rsidRPr="000346B3" w:rsidRDefault="004E7BA5" w:rsidP="00004233">
            <w:pPr>
              <w:rPr>
                <w:rFonts w:ascii="Arial" w:eastAsia="Times New Roman" w:hAnsi="Arial" w:cs="Arial"/>
                <w:b/>
                <w:bCs/>
                <w:sz w:val="20"/>
                <w:szCs w:val="20"/>
              </w:rPr>
            </w:pPr>
          </w:p>
        </w:tc>
        <w:tc>
          <w:tcPr>
            <w:tcW w:w="1315" w:type="pct"/>
            <w:gridSpan w:val="2"/>
            <w:tcBorders>
              <w:left w:val="outset" w:sz="6" w:space="0" w:color="auto"/>
            </w:tcBorders>
            <w:shd w:val="clear" w:color="auto" w:fill="C6D9F1"/>
            <w:vAlign w:val="center"/>
          </w:tcPr>
          <w:p w:rsidR="004E7BA5" w:rsidRPr="000346B3" w:rsidRDefault="004E7BA5" w:rsidP="00004233">
            <w:pPr>
              <w:rPr>
                <w:rFonts w:ascii="Arial" w:eastAsia="Times New Roman" w:hAnsi="Arial" w:cs="Arial"/>
                <w:b/>
                <w:bCs/>
                <w:sz w:val="20"/>
                <w:szCs w:val="20"/>
              </w:rPr>
            </w:pPr>
            <w:r w:rsidRPr="000346B3">
              <w:rPr>
                <w:rFonts w:ascii="Arial" w:eastAsia="Times New Roman" w:hAnsi="Arial" w:cs="Arial"/>
                <w:b/>
                <w:bCs/>
                <w:sz w:val="20"/>
                <w:szCs w:val="20"/>
              </w:rPr>
              <w:t>GENERAL</w:t>
            </w:r>
          </w:p>
        </w:tc>
        <w:tc>
          <w:tcPr>
            <w:tcW w:w="2547" w:type="pct"/>
            <w:gridSpan w:val="2"/>
            <w:shd w:val="clear" w:color="auto" w:fill="auto"/>
            <w:vAlign w:val="center"/>
          </w:tcPr>
          <w:p w:rsidR="004E7BA5" w:rsidRPr="000346B3" w:rsidRDefault="000346B3" w:rsidP="00C26D32">
            <w:pPr>
              <w:jc w:val="both"/>
              <w:rPr>
                <w:rFonts w:ascii="Arial" w:hAnsi="Arial" w:cs="Arial"/>
                <w:sz w:val="20"/>
                <w:szCs w:val="20"/>
                <w:lang w:eastAsia="en-US"/>
              </w:rPr>
            </w:pPr>
            <w:r w:rsidRPr="000346B3">
              <w:rPr>
                <w:rFonts w:ascii="Arial" w:hAnsi="Arial" w:cs="Arial"/>
                <w:sz w:val="20"/>
                <w:szCs w:val="20"/>
              </w:rPr>
              <w:t>No aplica.</w:t>
            </w:r>
          </w:p>
        </w:tc>
      </w:tr>
      <w:tr w:rsidR="004E7BA5" w:rsidRPr="000346B3" w:rsidTr="00D323F9">
        <w:trPr>
          <w:trHeight w:val="348"/>
          <w:tblCellSpacing w:w="20" w:type="dxa"/>
        </w:trPr>
        <w:tc>
          <w:tcPr>
            <w:tcW w:w="1057" w:type="pct"/>
            <w:vMerge/>
            <w:tcBorders>
              <w:bottom w:val="outset" w:sz="6" w:space="0" w:color="auto"/>
              <w:right w:val="outset" w:sz="6" w:space="0" w:color="auto"/>
            </w:tcBorders>
            <w:shd w:val="clear" w:color="auto" w:fill="C6D9F1"/>
            <w:vAlign w:val="center"/>
          </w:tcPr>
          <w:p w:rsidR="004E7BA5" w:rsidRPr="000346B3" w:rsidRDefault="004E7BA5" w:rsidP="00004233">
            <w:pPr>
              <w:rPr>
                <w:rFonts w:ascii="Arial" w:eastAsia="Times New Roman" w:hAnsi="Arial" w:cs="Arial"/>
                <w:b/>
                <w:bCs/>
                <w:sz w:val="20"/>
                <w:szCs w:val="20"/>
              </w:rPr>
            </w:pPr>
          </w:p>
        </w:tc>
        <w:tc>
          <w:tcPr>
            <w:tcW w:w="1315" w:type="pct"/>
            <w:gridSpan w:val="2"/>
            <w:tcBorders>
              <w:left w:val="outset" w:sz="6" w:space="0" w:color="auto"/>
              <w:bottom w:val="outset" w:sz="6" w:space="0" w:color="auto"/>
            </w:tcBorders>
            <w:shd w:val="clear" w:color="auto" w:fill="C6D9F1"/>
            <w:vAlign w:val="center"/>
          </w:tcPr>
          <w:p w:rsidR="004E7BA5" w:rsidRPr="000346B3" w:rsidRDefault="004E7BA5" w:rsidP="00004233">
            <w:pPr>
              <w:rPr>
                <w:rFonts w:ascii="Arial" w:eastAsia="Times New Roman" w:hAnsi="Arial" w:cs="Arial"/>
                <w:b/>
                <w:bCs/>
                <w:sz w:val="20"/>
                <w:szCs w:val="20"/>
              </w:rPr>
            </w:pPr>
            <w:r w:rsidRPr="000346B3">
              <w:rPr>
                <w:rFonts w:ascii="Arial" w:eastAsia="Times New Roman" w:hAnsi="Arial" w:cs="Arial"/>
                <w:b/>
                <w:bCs/>
                <w:sz w:val="20"/>
                <w:szCs w:val="20"/>
              </w:rPr>
              <w:t>OTROS ÁMBITOS</w:t>
            </w:r>
          </w:p>
        </w:tc>
        <w:tc>
          <w:tcPr>
            <w:tcW w:w="2547" w:type="pct"/>
            <w:gridSpan w:val="2"/>
            <w:shd w:val="clear" w:color="auto" w:fill="auto"/>
            <w:vAlign w:val="center"/>
          </w:tcPr>
          <w:p w:rsidR="004E7BA5" w:rsidRPr="000346B3" w:rsidRDefault="000346B3" w:rsidP="00004233">
            <w:pPr>
              <w:jc w:val="both"/>
              <w:rPr>
                <w:rFonts w:ascii="Arial" w:eastAsia="Times New Roman" w:hAnsi="Arial" w:cs="Arial"/>
                <w:sz w:val="20"/>
                <w:szCs w:val="20"/>
              </w:rPr>
            </w:pPr>
            <w:r w:rsidRPr="000346B3">
              <w:rPr>
                <w:rFonts w:ascii="Arial" w:hAnsi="Arial" w:cs="Arial"/>
                <w:sz w:val="20"/>
                <w:szCs w:val="20"/>
              </w:rPr>
              <w:t>No aplica.</w:t>
            </w:r>
          </w:p>
        </w:tc>
      </w:tr>
      <w:tr w:rsidR="004E7BA5" w:rsidRPr="000346B3" w:rsidTr="00D323F9">
        <w:trPr>
          <w:trHeight w:val="384"/>
          <w:tblCellSpacing w:w="20" w:type="dxa"/>
        </w:trPr>
        <w:tc>
          <w:tcPr>
            <w:tcW w:w="2392" w:type="pct"/>
            <w:gridSpan w:val="3"/>
            <w:shd w:val="clear" w:color="auto" w:fill="C6D9F1"/>
            <w:vAlign w:val="center"/>
            <w:hideMark/>
          </w:tcPr>
          <w:p w:rsidR="004E7BA5" w:rsidRPr="000346B3" w:rsidRDefault="004E7BA5" w:rsidP="00004233">
            <w:pPr>
              <w:rPr>
                <w:rFonts w:ascii="Arial" w:eastAsia="Times New Roman" w:hAnsi="Arial" w:cs="Arial"/>
                <w:b/>
                <w:bCs/>
                <w:sz w:val="20"/>
                <w:szCs w:val="20"/>
              </w:rPr>
            </w:pPr>
            <w:r w:rsidRPr="000346B3">
              <w:rPr>
                <w:rFonts w:ascii="Arial" w:eastAsia="Times New Roman" w:hAnsi="Arial" w:cs="Arial"/>
                <w:b/>
                <w:bCs/>
                <w:sz w:val="20"/>
                <w:szCs w:val="20"/>
              </w:rPr>
              <w:t>INFORMACIÓN GEO – REFERENCIADA</w:t>
            </w:r>
          </w:p>
        </w:tc>
        <w:tc>
          <w:tcPr>
            <w:tcW w:w="2547" w:type="pct"/>
            <w:gridSpan w:val="2"/>
            <w:shd w:val="clear" w:color="auto" w:fill="auto"/>
            <w:vAlign w:val="center"/>
            <w:hideMark/>
          </w:tcPr>
          <w:p w:rsidR="004E7BA5" w:rsidRPr="000346B3" w:rsidRDefault="000346B3" w:rsidP="00004233">
            <w:pPr>
              <w:jc w:val="both"/>
              <w:rPr>
                <w:rFonts w:ascii="Arial" w:eastAsia="Times New Roman" w:hAnsi="Arial" w:cs="Arial"/>
                <w:color w:val="000000"/>
                <w:sz w:val="20"/>
                <w:szCs w:val="20"/>
              </w:rPr>
            </w:pPr>
            <w:r w:rsidRPr="000346B3">
              <w:rPr>
                <w:rFonts w:ascii="Arial" w:hAnsi="Arial" w:cs="Arial"/>
                <w:sz w:val="20"/>
                <w:szCs w:val="20"/>
              </w:rPr>
              <w:t>No aplica.</w:t>
            </w:r>
          </w:p>
        </w:tc>
      </w:tr>
      <w:tr w:rsidR="0068736A" w:rsidRPr="000346B3" w:rsidTr="00734D2F">
        <w:trPr>
          <w:trHeight w:val="2966"/>
          <w:tblCellSpacing w:w="20" w:type="dxa"/>
        </w:trPr>
        <w:tc>
          <w:tcPr>
            <w:tcW w:w="2392" w:type="pct"/>
            <w:gridSpan w:val="3"/>
            <w:shd w:val="clear" w:color="auto" w:fill="C6D9F1"/>
            <w:vAlign w:val="center"/>
            <w:hideMark/>
          </w:tcPr>
          <w:p w:rsidR="0068736A" w:rsidRPr="000346B3" w:rsidRDefault="0068736A" w:rsidP="004E0B76">
            <w:pPr>
              <w:rPr>
                <w:rFonts w:ascii="Arial" w:eastAsia="Times New Roman" w:hAnsi="Arial" w:cs="Arial"/>
                <w:b/>
                <w:bCs/>
                <w:sz w:val="20"/>
                <w:szCs w:val="20"/>
              </w:rPr>
            </w:pPr>
            <w:r w:rsidRPr="000346B3">
              <w:rPr>
                <w:rFonts w:ascii="Arial" w:eastAsia="Times New Roman" w:hAnsi="Arial" w:cs="Arial"/>
                <w:b/>
                <w:bCs/>
                <w:sz w:val="20"/>
                <w:szCs w:val="20"/>
              </w:rPr>
              <w:t>RELACI</w:t>
            </w:r>
            <w:r w:rsidRPr="000346B3">
              <w:rPr>
                <w:rFonts w:ascii="Arial" w:eastAsia="Times New Roman" w:hAnsi="Arial" w:cs="Arial"/>
                <w:b/>
                <w:bCs/>
                <w:color w:val="000000"/>
                <w:sz w:val="20"/>
                <w:szCs w:val="20"/>
              </w:rPr>
              <w:t xml:space="preserve">ÓN CON  INSTRUMENTOS DE PLANIFICACIÓN NACIONAL </w:t>
            </w:r>
            <w:r w:rsidRPr="000346B3">
              <w:rPr>
                <w:rFonts w:ascii="Arial" w:hAnsi="Arial" w:cs="Arial"/>
                <w:b/>
                <w:sz w:val="20"/>
                <w:szCs w:val="20"/>
              </w:rPr>
              <w:t xml:space="preserve">E </w:t>
            </w:r>
            <w:r w:rsidRPr="000346B3">
              <w:rPr>
                <w:rFonts w:ascii="Arial" w:eastAsia="Times New Roman" w:hAnsi="Arial" w:cs="Arial"/>
                <w:b/>
                <w:bCs/>
                <w:color w:val="000000"/>
                <w:sz w:val="20"/>
                <w:szCs w:val="20"/>
              </w:rPr>
              <w:t>INTERNACIONAL</w:t>
            </w:r>
          </w:p>
        </w:tc>
        <w:tc>
          <w:tcPr>
            <w:tcW w:w="2547" w:type="pct"/>
            <w:gridSpan w:val="2"/>
            <w:shd w:val="clear" w:color="auto" w:fill="auto"/>
            <w:vAlign w:val="center"/>
            <w:hideMark/>
          </w:tcPr>
          <w:p w:rsidR="000346B3" w:rsidRPr="000C6B24" w:rsidRDefault="000346B3" w:rsidP="000346B3">
            <w:pPr>
              <w:pStyle w:val="Prrafodelista"/>
              <w:numPr>
                <w:ilvl w:val="0"/>
                <w:numId w:val="34"/>
              </w:numPr>
              <w:spacing w:after="0" w:line="240" w:lineRule="auto"/>
              <w:jc w:val="both"/>
              <w:rPr>
                <w:rFonts w:ascii="Arial" w:eastAsia="Times New Roman" w:hAnsi="Arial" w:cs="Arial"/>
                <w:sz w:val="20"/>
                <w:szCs w:val="20"/>
              </w:rPr>
            </w:pPr>
            <w:r w:rsidRPr="000C6B24">
              <w:rPr>
                <w:rFonts w:ascii="Arial" w:eastAsia="Times New Roman" w:hAnsi="Arial" w:cs="Arial"/>
                <w:sz w:val="20"/>
                <w:szCs w:val="20"/>
              </w:rPr>
              <w:t>Agenda de Desarrollo 2030 – Objetivos de Desarrollo Sostenible</w:t>
            </w:r>
          </w:p>
          <w:p w:rsidR="0068736A" w:rsidRPr="000346B3" w:rsidRDefault="0068736A" w:rsidP="000346B3">
            <w:pPr>
              <w:pStyle w:val="Textocomentario"/>
              <w:ind w:left="720"/>
              <w:jc w:val="both"/>
              <w:rPr>
                <w:rFonts w:ascii="Arial" w:hAnsi="Arial" w:cs="Arial"/>
              </w:rPr>
            </w:pPr>
            <w:r w:rsidRPr="000346B3">
              <w:rPr>
                <w:rFonts w:ascii="Arial" w:hAnsi="Arial" w:cs="Arial"/>
              </w:rPr>
              <w:t>.</w:t>
            </w:r>
          </w:p>
          <w:p w:rsidR="0068736A" w:rsidRPr="000346B3" w:rsidRDefault="0068736A" w:rsidP="0068736A">
            <w:pPr>
              <w:pStyle w:val="Textocomentario"/>
              <w:jc w:val="both"/>
              <w:rPr>
                <w:rFonts w:ascii="Arial" w:hAnsi="Arial" w:cs="Arial"/>
              </w:rPr>
            </w:pPr>
          </w:p>
          <w:p w:rsidR="0068736A" w:rsidRPr="000346B3" w:rsidRDefault="0068736A" w:rsidP="0068736A">
            <w:pPr>
              <w:pStyle w:val="Textocomentario"/>
              <w:jc w:val="both"/>
              <w:rPr>
                <w:rFonts w:ascii="Arial" w:hAnsi="Arial" w:cs="Arial"/>
              </w:rPr>
            </w:pPr>
            <w:r w:rsidRPr="000346B3">
              <w:rPr>
                <w:rFonts w:ascii="Arial" w:hAnsi="Arial" w:cs="Arial"/>
                <w:b/>
              </w:rPr>
              <w:t>Objetivo 10:</w:t>
            </w:r>
            <w:r w:rsidRPr="000346B3">
              <w:rPr>
                <w:rFonts w:ascii="Arial" w:hAnsi="Arial" w:cs="Arial"/>
              </w:rPr>
              <w:t xml:space="preserve"> Reducir la desigualdad dentro y entre países.</w:t>
            </w:r>
          </w:p>
          <w:p w:rsidR="000346B3" w:rsidRPr="000346B3" w:rsidRDefault="000346B3" w:rsidP="0068736A">
            <w:pPr>
              <w:pStyle w:val="Textocomentario"/>
              <w:jc w:val="both"/>
              <w:rPr>
                <w:rFonts w:ascii="Arial" w:hAnsi="Arial" w:cs="Arial"/>
                <w:b/>
              </w:rPr>
            </w:pPr>
          </w:p>
          <w:p w:rsidR="0068736A" w:rsidRPr="000346B3" w:rsidRDefault="0068736A" w:rsidP="0068736A">
            <w:pPr>
              <w:pStyle w:val="Textocomentario"/>
              <w:jc w:val="both"/>
              <w:rPr>
                <w:rFonts w:ascii="Arial" w:hAnsi="Arial" w:cs="Arial"/>
              </w:rPr>
            </w:pPr>
            <w:r w:rsidRPr="000346B3">
              <w:rPr>
                <w:rFonts w:ascii="Arial" w:hAnsi="Arial" w:cs="Arial"/>
                <w:b/>
              </w:rPr>
              <w:t>Meta 10.5</w:t>
            </w:r>
            <w:r w:rsidRPr="000346B3">
              <w:rPr>
                <w:rFonts w:ascii="Arial" w:hAnsi="Arial" w:cs="Arial"/>
              </w:rPr>
              <w:t xml:space="preserve"> Mejorar la regulación y supervisión de los mercados financieros globales y de las instituciones y fortalecer la aplicación de dichas normas.</w:t>
            </w:r>
          </w:p>
        </w:tc>
      </w:tr>
      <w:tr w:rsidR="0068736A" w:rsidRPr="000346B3" w:rsidTr="0068736A">
        <w:trPr>
          <w:trHeight w:val="982"/>
          <w:tblCellSpacing w:w="20" w:type="dxa"/>
        </w:trPr>
        <w:tc>
          <w:tcPr>
            <w:tcW w:w="2392" w:type="pct"/>
            <w:gridSpan w:val="3"/>
            <w:shd w:val="clear" w:color="auto" w:fill="C6D9F1"/>
            <w:vAlign w:val="center"/>
          </w:tcPr>
          <w:p w:rsidR="0068736A" w:rsidRPr="000346B3" w:rsidRDefault="0068736A" w:rsidP="00004233">
            <w:pPr>
              <w:rPr>
                <w:rFonts w:ascii="Arial" w:eastAsia="Times New Roman" w:hAnsi="Arial" w:cs="Arial"/>
                <w:b/>
                <w:bCs/>
                <w:sz w:val="20"/>
                <w:szCs w:val="20"/>
              </w:rPr>
            </w:pPr>
            <w:r w:rsidRPr="000346B3">
              <w:rPr>
                <w:rFonts w:ascii="Arial" w:eastAsia="Times New Roman" w:hAnsi="Arial" w:cs="Arial"/>
                <w:b/>
                <w:bCs/>
                <w:sz w:val="20"/>
                <w:szCs w:val="20"/>
              </w:rPr>
              <w:t>REFERENCIAS BIBLIOGRÁFICAS DE LA CONSTRUCCIÓN DEL INDICADOR</w:t>
            </w:r>
          </w:p>
        </w:tc>
        <w:tc>
          <w:tcPr>
            <w:tcW w:w="2547" w:type="pct"/>
            <w:gridSpan w:val="2"/>
            <w:shd w:val="clear" w:color="auto" w:fill="auto"/>
            <w:vAlign w:val="center"/>
          </w:tcPr>
          <w:p w:rsidR="0068736A" w:rsidRPr="000346B3" w:rsidRDefault="0068736A" w:rsidP="0073410E">
            <w:pPr>
              <w:autoSpaceDE w:val="0"/>
              <w:autoSpaceDN w:val="0"/>
              <w:adjustRightInd w:val="0"/>
              <w:spacing w:after="0" w:line="240" w:lineRule="auto"/>
              <w:jc w:val="both"/>
              <w:rPr>
                <w:rFonts w:ascii="Arial" w:hAnsi="Arial" w:cs="Arial"/>
                <w:iCs/>
                <w:color w:val="000000"/>
                <w:sz w:val="20"/>
                <w:szCs w:val="20"/>
                <w:lang w:eastAsia="en-US"/>
              </w:rPr>
            </w:pPr>
            <w:r w:rsidRPr="000346B3">
              <w:rPr>
                <w:rFonts w:ascii="Arial" w:hAnsi="Arial" w:cs="Arial"/>
                <w:iCs/>
                <w:color w:val="000000"/>
                <w:sz w:val="20"/>
                <w:szCs w:val="20"/>
                <w:lang w:eastAsia="en-US"/>
              </w:rPr>
              <w:t>Indicadores de solidez financiera: Guía de compilación—Washington, D.C: Fondo Monetario Internacional, 2006.</w:t>
            </w:r>
          </w:p>
          <w:p w:rsidR="0068736A" w:rsidRPr="000346B3" w:rsidRDefault="0068736A" w:rsidP="0073410E">
            <w:pPr>
              <w:autoSpaceDE w:val="0"/>
              <w:autoSpaceDN w:val="0"/>
              <w:adjustRightInd w:val="0"/>
              <w:spacing w:after="0" w:line="240" w:lineRule="auto"/>
              <w:jc w:val="both"/>
              <w:rPr>
                <w:rFonts w:ascii="Arial" w:hAnsi="Arial" w:cs="Arial"/>
                <w:iCs/>
                <w:color w:val="000000"/>
                <w:sz w:val="20"/>
                <w:szCs w:val="20"/>
                <w:lang w:eastAsia="en-US"/>
              </w:rPr>
            </w:pPr>
          </w:p>
          <w:p w:rsidR="0068736A" w:rsidRPr="000346B3" w:rsidRDefault="0068736A" w:rsidP="0068736A">
            <w:pPr>
              <w:jc w:val="both"/>
              <w:rPr>
                <w:rFonts w:ascii="Arial" w:hAnsi="Arial" w:cs="Arial"/>
                <w:sz w:val="20"/>
                <w:szCs w:val="20"/>
              </w:rPr>
            </w:pPr>
            <w:r w:rsidRPr="000346B3">
              <w:rPr>
                <w:rFonts w:ascii="Arial" w:hAnsi="Arial" w:cs="Arial"/>
                <w:sz w:val="20"/>
                <w:szCs w:val="20"/>
              </w:rPr>
              <w:t xml:space="preserve">Catálogo Único de Cuentas emitido con Resolución </w:t>
            </w:r>
            <w:r w:rsidRPr="000346B3">
              <w:rPr>
                <w:rFonts w:ascii="Arial" w:hAnsi="Arial" w:cs="Arial"/>
                <w:sz w:val="20"/>
                <w:szCs w:val="20"/>
              </w:rPr>
              <w:lastRenderedPageBreak/>
              <w:t>No. SBS-2014-0761 de 05 de septiembre del 2014.</w:t>
            </w:r>
          </w:p>
          <w:p w:rsidR="000F6826" w:rsidRPr="000346B3" w:rsidRDefault="0068736A" w:rsidP="0068736A">
            <w:pPr>
              <w:jc w:val="both"/>
              <w:rPr>
                <w:rFonts w:ascii="Arial" w:hAnsi="Arial" w:cs="Arial"/>
                <w:sz w:val="20"/>
                <w:szCs w:val="20"/>
              </w:rPr>
            </w:pPr>
            <w:r w:rsidRPr="000346B3">
              <w:rPr>
                <w:rFonts w:ascii="Arial" w:hAnsi="Arial" w:cs="Arial"/>
                <w:sz w:val="20"/>
                <w:szCs w:val="20"/>
              </w:rPr>
              <w:t>Codificación de Resoluciones de la Superintendencia de Bancos y Seguros y de la Junta Bancaria,</w:t>
            </w:r>
            <w:r w:rsidR="000F6826" w:rsidRPr="000346B3">
              <w:rPr>
                <w:rFonts w:ascii="Arial" w:hAnsi="Arial" w:cs="Arial"/>
                <w:sz w:val="20"/>
                <w:szCs w:val="20"/>
              </w:rPr>
              <w:t xml:space="preserve"> art. 5, capítulo II, título IX.</w:t>
            </w:r>
          </w:p>
          <w:p w:rsidR="0068736A" w:rsidRPr="000346B3" w:rsidRDefault="000F6826" w:rsidP="00CD2253">
            <w:pPr>
              <w:jc w:val="both"/>
              <w:rPr>
                <w:rFonts w:ascii="Arial" w:hAnsi="Arial" w:cs="Arial"/>
                <w:sz w:val="18"/>
                <w:szCs w:val="20"/>
              </w:rPr>
            </w:pPr>
            <w:r w:rsidRPr="000346B3">
              <w:rPr>
                <w:rFonts w:ascii="Arial" w:hAnsi="Arial" w:cs="Arial"/>
                <w:sz w:val="20"/>
              </w:rPr>
              <w:t>Resolución de la Junta de Regulación Monetaria y Financiero No. 209-2016-F que fue reformada con Resolución No. 245-2016-F</w:t>
            </w:r>
            <w:r w:rsidR="00CD2253" w:rsidRPr="000346B3">
              <w:rPr>
                <w:rFonts w:ascii="Arial" w:hAnsi="Arial" w:cs="Arial"/>
                <w:sz w:val="20"/>
              </w:rPr>
              <w:t>.</w:t>
            </w:r>
          </w:p>
        </w:tc>
      </w:tr>
      <w:tr w:rsidR="0068736A" w:rsidRPr="000346B3" w:rsidTr="0068736A">
        <w:trPr>
          <w:trHeight w:val="799"/>
          <w:tblCellSpacing w:w="20" w:type="dxa"/>
        </w:trPr>
        <w:tc>
          <w:tcPr>
            <w:tcW w:w="2392" w:type="pct"/>
            <w:gridSpan w:val="3"/>
            <w:shd w:val="clear" w:color="auto" w:fill="C6D9F1"/>
            <w:vAlign w:val="center"/>
            <w:hideMark/>
          </w:tcPr>
          <w:p w:rsidR="0068736A" w:rsidRPr="000346B3" w:rsidRDefault="0068736A" w:rsidP="00004233">
            <w:pPr>
              <w:rPr>
                <w:rFonts w:ascii="Arial" w:eastAsia="Times New Roman" w:hAnsi="Arial" w:cs="Arial"/>
                <w:b/>
                <w:bCs/>
                <w:sz w:val="20"/>
                <w:szCs w:val="20"/>
              </w:rPr>
            </w:pPr>
            <w:r w:rsidRPr="000346B3">
              <w:rPr>
                <w:rFonts w:ascii="Arial" w:eastAsia="Times New Roman" w:hAnsi="Arial" w:cs="Arial"/>
                <w:b/>
                <w:bCs/>
                <w:sz w:val="20"/>
                <w:szCs w:val="20"/>
              </w:rPr>
              <w:lastRenderedPageBreak/>
              <w:t>FECHA DE ELABORACIÓN DE LA FICHA METODOLÓGICA</w:t>
            </w:r>
          </w:p>
        </w:tc>
        <w:tc>
          <w:tcPr>
            <w:tcW w:w="2547" w:type="pct"/>
            <w:gridSpan w:val="2"/>
            <w:shd w:val="clear" w:color="auto" w:fill="auto"/>
            <w:vAlign w:val="center"/>
            <w:hideMark/>
          </w:tcPr>
          <w:p w:rsidR="0068736A" w:rsidRPr="000346B3" w:rsidRDefault="0068736A" w:rsidP="0047438F">
            <w:pPr>
              <w:jc w:val="both"/>
              <w:rPr>
                <w:rFonts w:ascii="Arial" w:eastAsia="Times New Roman" w:hAnsi="Arial" w:cs="Arial"/>
                <w:color w:val="000000"/>
                <w:sz w:val="20"/>
                <w:szCs w:val="20"/>
              </w:rPr>
            </w:pPr>
            <w:r w:rsidRPr="000346B3">
              <w:rPr>
                <w:rFonts w:ascii="Arial" w:eastAsia="Times New Roman" w:hAnsi="Arial" w:cs="Arial"/>
                <w:color w:val="000000"/>
                <w:sz w:val="20"/>
                <w:szCs w:val="20"/>
              </w:rPr>
              <w:t>13/10/2016</w:t>
            </w:r>
          </w:p>
        </w:tc>
      </w:tr>
      <w:tr w:rsidR="0068736A" w:rsidRPr="000346B3" w:rsidTr="0068736A">
        <w:trPr>
          <w:trHeight w:val="781"/>
          <w:tblCellSpacing w:w="20" w:type="dxa"/>
        </w:trPr>
        <w:tc>
          <w:tcPr>
            <w:tcW w:w="2392" w:type="pct"/>
            <w:gridSpan w:val="3"/>
            <w:shd w:val="clear" w:color="auto" w:fill="C6D9F1"/>
            <w:vAlign w:val="center"/>
            <w:hideMark/>
          </w:tcPr>
          <w:p w:rsidR="0068736A" w:rsidRPr="000346B3" w:rsidRDefault="0068736A" w:rsidP="00004233">
            <w:pPr>
              <w:rPr>
                <w:rFonts w:ascii="Arial" w:eastAsia="Times New Roman" w:hAnsi="Arial" w:cs="Arial"/>
                <w:b/>
                <w:bCs/>
                <w:sz w:val="20"/>
                <w:szCs w:val="20"/>
              </w:rPr>
            </w:pPr>
            <w:r w:rsidRPr="000346B3">
              <w:rPr>
                <w:rFonts w:ascii="Arial" w:eastAsia="Times New Roman" w:hAnsi="Arial" w:cs="Arial"/>
                <w:b/>
                <w:bCs/>
                <w:sz w:val="20"/>
                <w:szCs w:val="20"/>
              </w:rPr>
              <w:t>FECHA DE LA ÚLTIMA ACTUALIZACIÓN DE LA FICHA</w:t>
            </w:r>
          </w:p>
        </w:tc>
        <w:tc>
          <w:tcPr>
            <w:tcW w:w="2547" w:type="pct"/>
            <w:gridSpan w:val="2"/>
            <w:shd w:val="clear" w:color="auto" w:fill="auto"/>
            <w:vAlign w:val="center"/>
            <w:hideMark/>
          </w:tcPr>
          <w:p w:rsidR="0068736A" w:rsidRPr="000346B3" w:rsidRDefault="00D323F9" w:rsidP="007C5558">
            <w:pPr>
              <w:jc w:val="both"/>
              <w:rPr>
                <w:rFonts w:ascii="Arial" w:eastAsia="Times New Roman" w:hAnsi="Arial" w:cs="Arial"/>
                <w:color w:val="000000"/>
                <w:sz w:val="20"/>
                <w:szCs w:val="20"/>
              </w:rPr>
            </w:pPr>
            <w:r w:rsidRPr="000346B3">
              <w:rPr>
                <w:rFonts w:ascii="Arial" w:eastAsia="Times New Roman" w:hAnsi="Arial" w:cs="Arial"/>
                <w:color w:val="000000"/>
                <w:sz w:val="20"/>
                <w:szCs w:val="20"/>
              </w:rPr>
              <w:t>07/11/2016</w:t>
            </w:r>
          </w:p>
        </w:tc>
      </w:tr>
      <w:tr w:rsidR="0068736A" w:rsidRPr="000346B3" w:rsidTr="0068736A">
        <w:trPr>
          <w:trHeight w:val="591"/>
          <w:tblCellSpacing w:w="20" w:type="dxa"/>
        </w:trPr>
        <w:tc>
          <w:tcPr>
            <w:tcW w:w="2392" w:type="pct"/>
            <w:gridSpan w:val="3"/>
            <w:shd w:val="clear" w:color="auto" w:fill="C6D9F1"/>
            <w:vAlign w:val="center"/>
          </w:tcPr>
          <w:p w:rsidR="0068736A" w:rsidRPr="000346B3" w:rsidRDefault="0068736A" w:rsidP="009B1D28">
            <w:pPr>
              <w:rPr>
                <w:rFonts w:ascii="Arial" w:eastAsia="Times New Roman" w:hAnsi="Arial" w:cs="Arial"/>
                <w:b/>
                <w:bCs/>
                <w:sz w:val="20"/>
                <w:szCs w:val="20"/>
              </w:rPr>
            </w:pPr>
            <w:r w:rsidRPr="000346B3">
              <w:rPr>
                <w:rFonts w:ascii="Arial" w:eastAsia="Times New Roman" w:hAnsi="Arial" w:cs="Arial"/>
                <w:b/>
                <w:bCs/>
                <w:sz w:val="20"/>
                <w:szCs w:val="20"/>
              </w:rPr>
              <w:t>CLASIFICADOR TEMÁTICO ESTADISTICO</w:t>
            </w:r>
          </w:p>
        </w:tc>
        <w:tc>
          <w:tcPr>
            <w:tcW w:w="1248" w:type="pct"/>
            <w:shd w:val="clear" w:color="auto" w:fill="auto"/>
            <w:vAlign w:val="center"/>
          </w:tcPr>
          <w:p w:rsidR="0068736A" w:rsidRPr="000346B3" w:rsidRDefault="00D323F9" w:rsidP="00F20331">
            <w:pPr>
              <w:rPr>
                <w:rFonts w:ascii="Arial" w:eastAsia="Times New Roman" w:hAnsi="Arial" w:cs="Arial"/>
                <w:color w:val="000000"/>
                <w:sz w:val="20"/>
                <w:szCs w:val="20"/>
              </w:rPr>
            </w:pPr>
            <w:r w:rsidRPr="000346B3">
              <w:rPr>
                <w:rFonts w:ascii="Arial" w:eastAsia="Times New Roman" w:hAnsi="Arial" w:cs="Arial"/>
                <w:color w:val="000000"/>
                <w:sz w:val="20"/>
                <w:szCs w:val="20"/>
              </w:rPr>
              <w:t>2. Estadísticas Económicas</w:t>
            </w:r>
            <w:r w:rsidR="0068736A" w:rsidRPr="000346B3">
              <w:rPr>
                <w:rFonts w:ascii="Arial" w:eastAsia="Times New Roman" w:hAnsi="Arial" w:cs="Arial"/>
                <w:color w:val="000000"/>
                <w:sz w:val="20"/>
                <w:szCs w:val="20"/>
              </w:rPr>
              <w:t xml:space="preserve"> </w:t>
            </w:r>
          </w:p>
        </w:tc>
        <w:tc>
          <w:tcPr>
            <w:tcW w:w="1279" w:type="pct"/>
            <w:shd w:val="clear" w:color="auto" w:fill="auto"/>
            <w:vAlign w:val="center"/>
          </w:tcPr>
          <w:p w:rsidR="0068736A" w:rsidRPr="000346B3" w:rsidRDefault="00D323F9" w:rsidP="0068736A">
            <w:pPr>
              <w:jc w:val="both"/>
              <w:rPr>
                <w:rFonts w:ascii="Arial" w:eastAsia="Times New Roman" w:hAnsi="Arial" w:cs="Arial"/>
                <w:color w:val="000000"/>
                <w:sz w:val="20"/>
                <w:szCs w:val="20"/>
              </w:rPr>
            </w:pPr>
            <w:r w:rsidRPr="000346B3">
              <w:rPr>
                <w:rFonts w:ascii="Arial" w:eastAsia="Times New Roman" w:hAnsi="Arial" w:cs="Arial"/>
                <w:color w:val="000000"/>
                <w:sz w:val="20"/>
                <w:szCs w:val="20"/>
              </w:rPr>
              <w:t>2.4.6 Banca, seguros y estadísticas financieras</w:t>
            </w:r>
          </w:p>
        </w:tc>
      </w:tr>
      <w:tr w:rsidR="0068736A" w:rsidRPr="000346B3" w:rsidTr="0068736A">
        <w:trPr>
          <w:trHeight w:val="591"/>
          <w:tblCellSpacing w:w="20" w:type="dxa"/>
        </w:trPr>
        <w:tc>
          <w:tcPr>
            <w:tcW w:w="2392" w:type="pct"/>
            <w:gridSpan w:val="3"/>
            <w:shd w:val="clear" w:color="auto" w:fill="C6D9F1"/>
            <w:vAlign w:val="center"/>
          </w:tcPr>
          <w:p w:rsidR="0068736A" w:rsidRPr="000346B3" w:rsidRDefault="0068736A" w:rsidP="00004233">
            <w:pPr>
              <w:rPr>
                <w:rFonts w:ascii="Arial" w:eastAsia="Times New Roman" w:hAnsi="Arial" w:cs="Arial"/>
                <w:b/>
                <w:bCs/>
                <w:sz w:val="20"/>
                <w:szCs w:val="20"/>
              </w:rPr>
            </w:pPr>
            <w:r w:rsidRPr="000346B3">
              <w:rPr>
                <w:rFonts w:ascii="Arial" w:eastAsia="Times New Roman" w:hAnsi="Arial" w:cs="Arial"/>
                <w:b/>
                <w:bCs/>
                <w:sz w:val="20"/>
                <w:szCs w:val="20"/>
              </w:rPr>
              <w:t>ELABORADO POR</w:t>
            </w:r>
          </w:p>
        </w:tc>
        <w:tc>
          <w:tcPr>
            <w:tcW w:w="2547" w:type="pct"/>
            <w:gridSpan w:val="2"/>
            <w:shd w:val="clear" w:color="auto" w:fill="auto"/>
            <w:vAlign w:val="center"/>
          </w:tcPr>
          <w:p w:rsidR="00D323F9" w:rsidRPr="000346B3" w:rsidRDefault="00D323F9" w:rsidP="0068736A">
            <w:pPr>
              <w:jc w:val="both"/>
              <w:rPr>
                <w:rFonts w:ascii="Arial" w:eastAsia="Times New Roman" w:hAnsi="Arial" w:cs="Arial"/>
                <w:color w:val="000000"/>
                <w:sz w:val="20"/>
                <w:szCs w:val="20"/>
              </w:rPr>
            </w:pPr>
            <w:r w:rsidRPr="000346B3">
              <w:rPr>
                <w:rFonts w:ascii="Arial" w:eastAsia="Times New Roman" w:hAnsi="Arial" w:cs="Arial"/>
                <w:color w:val="000000"/>
                <w:sz w:val="20"/>
                <w:szCs w:val="20"/>
              </w:rPr>
              <w:t>Mesa Temática de Estadísticas Económicas</w:t>
            </w:r>
          </w:p>
          <w:p w:rsidR="0068736A" w:rsidRPr="000346B3" w:rsidRDefault="000346B3" w:rsidP="0068736A">
            <w:pPr>
              <w:jc w:val="both"/>
              <w:rPr>
                <w:rFonts w:ascii="Arial" w:eastAsia="Times New Roman" w:hAnsi="Arial" w:cs="Arial"/>
                <w:color w:val="000000"/>
                <w:sz w:val="20"/>
                <w:szCs w:val="20"/>
              </w:rPr>
            </w:pPr>
            <w:r w:rsidRPr="000346B3">
              <w:rPr>
                <w:rFonts w:ascii="Arial" w:eastAsia="Times New Roman" w:hAnsi="Arial" w:cs="Arial"/>
                <w:color w:val="000000"/>
                <w:sz w:val="20"/>
                <w:szCs w:val="20"/>
              </w:rPr>
              <w:t xml:space="preserve">Responsable: </w:t>
            </w:r>
            <w:r w:rsidR="00D323F9" w:rsidRPr="000346B3">
              <w:rPr>
                <w:rFonts w:ascii="Arial" w:eastAsia="Times New Roman" w:hAnsi="Arial" w:cs="Arial"/>
                <w:color w:val="000000"/>
                <w:sz w:val="20"/>
                <w:szCs w:val="20"/>
              </w:rPr>
              <w:t>Superintendencia de Bancos – Dirección Nacional de Estudios e Información</w:t>
            </w:r>
          </w:p>
        </w:tc>
      </w:tr>
      <w:tr w:rsidR="0068736A" w:rsidRPr="000346B3" w:rsidTr="004E4B6E">
        <w:trPr>
          <w:trHeight w:val="513"/>
          <w:tblCellSpacing w:w="20" w:type="dxa"/>
        </w:trPr>
        <w:tc>
          <w:tcPr>
            <w:tcW w:w="4959" w:type="pct"/>
            <w:gridSpan w:val="5"/>
            <w:shd w:val="clear" w:color="auto" w:fill="548DD4" w:themeFill="text2" w:themeFillTint="99"/>
            <w:vAlign w:val="center"/>
          </w:tcPr>
          <w:p w:rsidR="0068736A" w:rsidRPr="000346B3" w:rsidRDefault="0068736A" w:rsidP="000320E4">
            <w:pPr>
              <w:spacing w:after="0"/>
              <w:jc w:val="center"/>
              <w:rPr>
                <w:rFonts w:ascii="Arial" w:eastAsia="Times New Roman" w:hAnsi="Arial" w:cs="Arial"/>
                <w:b/>
                <w:bCs/>
                <w:sz w:val="20"/>
                <w:szCs w:val="20"/>
              </w:rPr>
            </w:pPr>
            <w:r w:rsidRPr="000346B3">
              <w:rPr>
                <w:rFonts w:ascii="Arial" w:eastAsia="Times New Roman" w:hAnsi="Arial" w:cs="Arial"/>
                <w:b/>
                <w:bCs/>
                <w:sz w:val="20"/>
                <w:szCs w:val="20"/>
              </w:rPr>
              <w:t>ANEXOS</w:t>
            </w:r>
          </w:p>
        </w:tc>
      </w:tr>
      <w:tr w:rsidR="0068736A" w:rsidRPr="000346B3" w:rsidTr="004E4B6E">
        <w:trPr>
          <w:trHeight w:val="513"/>
          <w:tblCellSpacing w:w="20" w:type="dxa"/>
        </w:trPr>
        <w:tc>
          <w:tcPr>
            <w:tcW w:w="4959" w:type="pct"/>
            <w:gridSpan w:val="5"/>
            <w:shd w:val="clear" w:color="auto" w:fill="548DD4" w:themeFill="text2" w:themeFillTint="99"/>
            <w:vAlign w:val="center"/>
          </w:tcPr>
          <w:p w:rsidR="0068736A" w:rsidRPr="000346B3" w:rsidRDefault="0068736A" w:rsidP="000320E4">
            <w:pPr>
              <w:spacing w:after="0"/>
              <w:jc w:val="center"/>
              <w:rPr>
                <w:rFonts w:ascii="Arial" w:eastAsia="Times New Roman" w:hAnsi="Arial" w:cs="Arial"/>
                <w:b/>
                <w:bCs/>
                <w:sz w:val="20"/>
                <w:szCs w:val="20"/>
              </w:rPr>
            </w:pPr>
            <w:r w:rsidRPr="000346B3">
              <w:rPr>
                <w:rFonts w:ascii="Arial" w:eastAsia="Times New Roman" w:hAnsi="Arial" w:cs="Arial"/>
                <w:b/>
                <w:bCs/>
                <w:sz w:val="20"/>
                <w:szCs w:val="20"/>
              </w:rPr>
              <w:t>De códigos y cuentas contables</w:t>
            </w:r>
            <w:r w:rsidR="007B055D" w:rsidRPr="000346B3">
              <w:rPr>
                <w:rFonts w:ascii="Arial" w:eastAsia="Times New Roman" w:hAnsi="Arial" w:cs="Arial"/>
                <w:b/>
                <w:bCs/>
                <w:sz w:val="20"/>
                <w:szCs w:val="20"/>
              </w:rPr>
              <w:t xml:space="preserve"> del grupo Cartera de Créditos</w:t>
            </w:r>
          </w:p>
        </w:tc>
      </w:tr>
      <w:tr w:rsidR="0068736A" w:rsidRPr="000346B3" w:rsidTr="000320E4">
        <w:trPr>
          <w:trHeight w:val="513"/>
          <w:tblCellSpacing w:w="20" w:type="dxa"/>
        </w:trPr>
        <w:tc>
          <w:tcPr>
            <w:tcW w:w="4959" w:type="pct"/>
            <w:gridSpan w:val="5"/>
            <w:shd w:val="clear" w:color="auto" w:fill="C6D9F1"/>
            <w:vAlign w:val="center"/>
            <w:hideMark/>
          </w:tcPr>
          <w:p w:rsidR="0068736A" w:rsidRPr="000346B3" w:rsidRDefault="0068736A" w:rsidP="009842F9">
            <w:pPr>
              <w:spacing w:after="0"/>
              <w:jc w:val="center"/>
              <w:rPr>
                <w:rFonts w:ascii="Arial" w:hAnsi="Arial" w:cs="Arial"/>
                <w:sz w:val="16"/>
                <w:szCs w:val="16"/>
              </w:rPr>
            </w:pPr>
            <w:r w:rsidRPr="000346B3">
              <w:rPr>
                <w:rFonts w:ascii="Arial" w:eastAsia="Times New Roman" w:hAnsi="Arial" w:cs="Arial"/>
                <w:b/>
                <w:bCs/>
                <w:sz w:val="20"/>
                <w:szCs w:val="20"/>
              </w:rPr>
              <w:t xml:space="preserve">SINTAXIS: </w:t>
            </w:r>
          </w:p>
        </w:tc>
      </w:tr>
      <w:tr w:rsidR="0068736A" w:rsidRPr="000346B3" w:rsidTr="008F530F">
        <w:trPr>
          <w:trHeight w:val="513"/>
          <w:tblCellSpacing w:w="20" w:type="dxa"/>
        </w:trPr>
        <w:tc>
          <w:tcPr>
            <w:tcW w:w="4959" w:type="pct"/>
            <w:gridSpan w:val="5"/>
            <w:tcBorders>
              <w:top w:val="outset" w:sz="6" w:space="0" w:color="auto"/>
              <w:bottom w:val="outset" w:sz="6" w:space="0" w:color="auto"/>
            </w:tcBorders>
            <w:shd w:val="clear" w:color="auto" w:fill="FFFFFF"/>
            <w:vAlign w:val="center"/>
          </w:tcPr>
          <w:p w:rsidR="0068736A" w:rsidRPr="000346B3" w:rsidRDefault="0068736A" w:rsidP="00941BA5">
            <w:pPr>
              <w:spacing w:line="240" w:lineRule="auto"/>
              <w:contextualSpacing/>
              <w:rPr>
                <w:rFonts w:ascii="Arial" w:hAnsi="Arial" w:cs="Arial"/>
              </w:rPr>
            </w:pPr>
            <w:r w:rsidRPr="000346B3">
              <w:rPr>
                <w:rFonts w:ascii="Arial" w:hAnsi="Arial" w:cs="Arial"/>
                <w:color w:val="000000"/>
                <w:sz w:val="16"/>
                <w:szCs w:val="20"/>
              </w:rPr>
              <w:t xml:space="preserve">  </w:t>
            </w:r>
            <w:r w:rsidRPr="000346B3">
              <w:rPr>
                <w:rFonts w:ascii="Arial" w:eastAsia="Times New Roman" w:hAnsi="Arial" w:cs="Arial"/>
                <w:sz w:val="20"/>
                <w:szCs w:val="20"/>
              </w:rPr>
              <w:t xml:space="preserve"> </w:t>
            </w:r>
            <w:r w:rsidRPr="000346B3">
              <w:rPr>
                <w:rFonts w:ascii="Arial" w:hAnsi="Arial" w:cs="Arial"/>
              </w:rPr>
              <w:t>(+CTA 1425+CTA 1433+CTA 1441+CTA 1449+CTA 1457+CTA 1465+CTA 1426+CTA 1434+CTA 1442+CTA 1450+CTA 1458+CTA 1466+CTA 1427+CTA 1435+CTA 1443+ CTA 1451+CTA 1459+CTA 1467+CTA 1428+CTA 1436+CTA 1444+CTA 1452+CTA 1460+CTA 1468+CTA 1429+CTA 1437+CTA 1445+CTA 1453+CTA 1461+CTA 1469+CTA 1430+CTA 1438+CTA 1446+CTA 1454+CTA 1462+CTA 1470+CTA 1431+CTA 1439+CTA 1447+CTA 1455+CTA 1463+CTA 1471+CTA 1432+CTA 1440+CTA 1448</w:t>
            </w:r>
          </w:p>
          <w:p w:rsidR="0068736A" w:rsidRPr="000346B3" w:rsidRDefault="0068736A" w:rsidP="00941BA5">
            <w:pPr>
              <w:spacing w:line="240" w:lineRule="auto"/>
              <w:contextualSpacing/>
              <w:rPr>
                <w:rFonts w:ascii="Arial" w:eastAsia="Times New Roman" w:hAnsi="Arial" w:cs="Arial"/>
                <w:sz w:val="20"/>
                <w:szCs w:val="20"/>
              </w:rPr>
            </w:pPr>
            <w:r w:rsidRPr="000346B3">
              <w:rPr>
                <w:rFonts w:ascii="Arial" w:hAnsi="Arial" w:cs="Arial"/>
              </w:rPr>
              <w:t>+CTA 1456+CTA 1464+CTA 1472+CTA 1479+CTA 1481+CTA 1483+CTA 1485+CTA 1487+CTA 1489+CTA 1480+CTA 1482+CTA 1484+CTA 1486+CTA 1488+CTA 1490) / (CTA 14-CTA 1499)</w:t>
            </w:r>
          </w:p>
        </w:tc>
      </w:tr>
    </w:tbl>
    <w:p w:rsidR="00D055E1" w:rsidRPr="00CD2253" w:rsidRDefault="00D055E1">
      <w:pPr>
        <w:rPr>
          <w:rFonts w:asciiTheme="minorHAnsi" w:hAnsiTheme="minorHAnsi" w:cs="Arial"/>
          <w:sz w:val="20"/>
          <w:szCs w:val="20"/>
          <w:lang w:val="es-ES"/>
        </w:rPr>
      </w:pPr>
    </w:p>
    <w:p w:rsidR="00D055E1" w:rsidRPr="00CD2253" w:rsidRDefault="00D055E1">
      <w:pPr>
        <w:rPr>
          <w:rFonts w:asciiTheme="minorHAnsi" w:hAnsiTheme="minorHAnsi" w:cs="Arial"/>
          <w:sz w:val="20"/>
          <w:szCs w:val="20"/>
          <w:lang w:val="es-ES"/>
        </w:rPr>
      </w:pPr>
    </w:p>
    <w:p w:rsidR="00D323F9" w:rsidRPr="00CD2253" w:rsidRDefault="00D323F9">
      <w:pPr>
        <w:rPr>
          <w:rFonts w:asciiTheme="minorHAnsi" w:hAnsiTheme="minorHAnsi"/>
        </w:rPr>
      </w:pPr>
    </w:p>
    <w:p w:rsidR="00D323F9" w:rsidRPr="00CD2253" w:rsidRDefault="00D323F9">
      <w:pPr>
        <w:rPr>
          <w:rFonts w:asciiTheme="minorHAnsi" w:hAnsiTheme="minorHAnsi"/>
        </w:rPr>
      </w:pPr>
    </w:p>
    <w:p w:rsidR="00D323F9" w:rsidRDefault="00D323F9">
      <w:pPr>
        <w:rPr>
          <w:rFonts w:asciiTheme="minorHAnsi" w:hAnsiTheme="minorHAnsi"/>
        </w:rPr>
      </w:pPr>
    </w:p>
    <w:p w:rsidR="000346B3" w:rsidRDefault="000346B3">
      <w:pPr>
        <w:rPr>
          <w:rFonts w:asciiTheme="minorHAnsi" w:hAnsiTheme="minorHAnsi"/>
        </w:rPr>
      </w:pPr>
    </w:p>
    <w:p w:rsidR="00D323F9" w:rsidRPr="00CD2253" w:rsidRDefault="00D323F9">
      <w:pPr>
        <w:rPr>
          <w:rFonts w:asciiTheme="minorHAnsi" w:hAnsiTheme="minorHAnsi"/>
        </w:rPr>
      </w:pPr>
    </w:p>
    <w:p w:rsidR="00D323F9" w:rsidRPr="00CD2253" w:rsidRDefault="00D323F9" w:rsidP="00D323F9">
      <w:pPr>
        <w:spacing w:after="0" w:line="240" w:lineRule="auto"/>
        <w:jc w:val="center"/>
        <w:rPr>
          <w:rFonts w:asciiTheme="minorHAnsi" w:hAnsiTheme="minorHAnsi"/>
          <w:b/>
        </w:rPr>
      </w:pPr>
      <w:r w:rsidRPr="00CD2253">
        <w:rPr>
          <w:rFonts w:asciiTheme="minorHAnsi" w:hAnsiTheme="minorHAnsi"/>
          <w:b/>
        </w:rPr>
        <w:t>ANEXO 1</w:t>
      </w:r>
    </w:p>
    <w:p w:rsidR="0068736A" w:rsidRPr="00CD2253" w:rsidRDefault="00D323F9" w:rsidP="00D323F9">
      <w:pPr>
        <w:spacing w:after="0" w:line="240" w:lineRule="auto"/>
        <w:jc w:val="center"/>
        <w:rPr>
          <w:rFonts w:asciiTheme="minorHAnsi" w:hAnsiTheme="minorHAnsi"/>
        </w:rPr>
      </w:pPr>
      <w:r w:rsidRPr="00CD2253">
        <w:rPr>
          <w:rFonts w:asciiTheme="minorHAnsi" w:eastAsia="Times New Roman" w:hAnsiTheme="minorHAnsi" w:cs="Arial"/>
          <w:b/>
          <w:bCs/>
          <w:sz w:val="20"/>
          <w:szCs w:val="20"/>
        </w:rPr>
        <w:t>Códigos y cuentas contables del grupo Cartera de Créditos</w:t>
      </w:r>
      <w:r w:rsidRPr="00CD2253">
        <w:rPr>
          <w:rFonts w:asciiTheme="minorHAnsi" w:hAnsiTheme="minorHAnsi"/>
        </w:rPr>
        <w:t xml:space="preserve"> </w:t>
      </w:r>
    </w:p>
    <w:tbl>
      <w:tblPr>
        <w:tblW w:w="879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4"/>
        <w:gridCol w:w="8024"/>
      </w:tblGrid>
      <w:tr w:rsidR="007C6ACE" w:rsidRPr="00CD2253" w:rsidTr="00D323F9">
        <w:trPr>
          <w:trHeight w:val="300"/>
        </w:trPr>
        <w:tc>
          <w:tcPr>
            <w:tcW w:w="774" w:type="dxa"/>
            <w:shd w:val="clear" w:color="auto" w:fill="1F497D" w:themeFill="text2"/>
            <w:noWrap/>
            <w:vAlign w:val="bottom"/>
            <w:hideMark/>
          </w:tcPr>
          <w:p w:rsidR="007C6ACE" w:rsidRPr="00CD2253" w:rsidRDefault="007C6ACE" w:rsidP="007C6ACE">
            <w:pPr>
              <w:spacing w:after="0" w:line="240" w:lineRule="auto"/>
              <w:rPr>
                <w:rFonts w:asciiTheme="minorHAnsi" w:eastAsia="Times New Roman" w:hAnsiTheme="minorHAnsi" w:cs="Arial"/>
                <w:b/>
                <w:color w:val="FFFFFF" w:themeColor="background1"/>
                <w:sz w:val="20"/>
                <w:szCs w:val="20"/>
              </w:rPr>
            </w:pPr>
            <w:r w:rsidRPr="00CD2253">
              <w:rPr>
                <w:rFonts w:asciiTheme="minorHAnsi" w:eastAsia="Times New Roman" w:hAnsiTheme="minorHAnsi" w:cs="Arial"/>
                <w:b/>
                <w:color w:val="FFFFFF" w:themeColor="background1"/>
                <w:sz w:val="20"/>
                <w:szCs w:val="20"/>
              </w:rPr>
              <w:t xml:space="preserve">Código </w:t>
            </w:r>
          </w:p>
        </w:tc>
        <w:tc>
          <w:tcPr>
            <w:tcW w:w="8024" w:type="dxa"/>
            <w:shd w:val="clear" w:color="auto" w:fill="1F497D" w:themeFill="text2"/>
            <w:noWrap/>
            <w:vAlign w:val="bottom"/>
            <w:hideMark/>
          </w:tcPr>
          <w:p w:rsidR="007C6ACE" w:rsidRPr="00CD2253" w:rsidRDefault="007C6ACE" w:rsidP="007C6ACE">
            <w:pPr>
              <w:spacing w:after="0" w:line="240" w:lineRule="auto"/>
              <w:rPr>
                <w:rFonts w:asciiTheme="minorHAnsi" w:eastAsia="Times New Roman" w:hAnsiTheme="minorHAnsi" w:cs="Arial"/>
                <w:b/>
                <w:color w:val="FFFFFF" w:themeColor="background1"/>
                <w:sz w:val="20"/>
                <w:szCs w:val="20"/>
              </w:rPr>
            </w:pPr>
            <w:r w:rsidRPr="00CD2253">
              <w:rPr>
                <w:rFonts w:asciiTheme="minorHAnsi" w:eastAsia="Times New Roman" w:hAnsiTheme="minorHAnsi" w:cs="Arial"/>
                <w:b/>
                <w:color w:val="FFFFFF" w:themeColor="background1"/>
                <w:sz w:val="20"/>
                <w:szCs w:val="20"/>
              </w:rPr>
              <w:t>Nombre del código contable</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16"/>
                <w:szCs w:val="16"/>
              </w:rPr>
            </w:pPr>
            <w:r w:rsidRPr="00CD2253">
              <w:rPr>
                <w:rFonts w:asciiTheme="minorHAnsi" w:eastAsia="Times New Roman" w:hAnsiTheme="minorHAnsi" w:cs="Arial"/>
                <w:sz w:val="16"/>
                <w:szCs w:val="16"/>
              </w:rPr>
              <w:t>CARTERA DE CRÉDITOS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1499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(Provisiones para créditos incobrables)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comercial prioritario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prioritario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inmobiliario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para la microempresa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productivo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comercial ordinario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ordinario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de vivienda de interés público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1409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comercial prioritario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prioritario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inmobiliario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para la microempresa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productivo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comercial ordinario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ordinario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de vivienda de interés público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comercial prioritario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prioritario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1419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inmobiliario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para la microempresa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productivo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comercial ordinario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ordinario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de vivienda de interés público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educativo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inversión pública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educativo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inversión pública refinanciada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educativo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inversión pública reestructurada por vencer</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lastRenderedPageBreak/>
              <w:t>14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comercial prioritario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consumo prioritario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inmobiliario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para la microempresa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productivo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comercial ordinario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B050"/>
                <w:sz w:val="20"/>
                <w:szCs w:val="20"/>
              </w:rPr>
            </w:pPr>
            <w:r w:rsidRPr="00CD2253">
              <w:rPr>
                <w:rFonts w:asciiTheme="minorHAnsi" w:eastAsia="Times New Roman" w:hAnsiTheme="minorHAnsi" w:cs="Arial"/>
                <w:color w:val="00B050"/>
                <w:sz w:val="20"/>
                <w:szCs w:val="20"/>
              </w:rPr>
              <w:t>1455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consumo ordinario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B050"/>
                <w:sz w:val="20"/>
                <w:szCs w:val="20"/>
              </w:rPr>
            </w:pPr>
            <w:r w:rsidRPr="00CD2253">
              <w:rPr>
                <w:rFonts w:asciiTheme="minorHAnsi" w:eastAsia="Times New Roman" w:hAnsiTheme="minorHAnsi" w:cs="Arial"/>
                <w:color w:val="00B050"/>
                <w:sz w:val="20"/>
                <w:szCs w:val="20"/>
              </w:rPr>
              <w:t>1456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de vivienda de interés público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comercial prioritario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consumo prioritario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1459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inmobiliario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para la microempresa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productivo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comercial ordinario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consumo ordinario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de vivienda de interés público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comercial prioritario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consumo prioritario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inmobiliario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para la microempresa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1469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productivo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comercial ordinario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consumo ordinario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de vivienda de interés público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educativo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inversión pública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educativo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inversión pública refinanciada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 educativo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1490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sz w:val="20"/>
                <w:szCs w:val="20"/>
              </w:rPr>
            </w:pPr>
            <w:r w:rsidRPr="00CD2253">
              <w:rPr>
                <w:rFonts w:asciiTheme="minorHAnsi" w:eastAsia="Times New Roman" w:hAnsiTheme="minorHAnsi" w:cs="Arial"/>
                <w:sz w:val="20"/>
                <w:szCs w:val="20"/>
              </w:rPr>
              <w:t>Cartera de créditos de inversión pública reestructurada vencida</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 xml:space="preserve">Código </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comercial prioritario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prioritario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inmobiliario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para la microempresa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1429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productivo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comercial ordinario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ordinario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de vivienda de interés público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lastRenderedPageBreak/>
              <w:t>1433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comercial prioritario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prioritario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inmobiliario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para la microempresa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productivo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comercial ordinario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1439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ordinario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de vivienda de interés público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comercial prioritario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prioritario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inmobiliario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para la microempresa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1445</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productivo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1446</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comercial ordinario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1447</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consumo ordinario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1448</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de vivienda de interés público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1479</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educativo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1480</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inversión pública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1481</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educativo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1482</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inversión pública refinanciada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1483</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 educativo reestructurada que no devenga intereses</w:t>
            </w:r>
          </w:p>
        </w:tc>
      </w:tr>
      <w:tr w:rsidR="007C6ACE" w:rsidRPr="00CD2253" w:rsidTr="00D323F9">
        <w:trPr>
          <w:trHeight w:val="300"/>
        </w:trPr>
        <w:tc>
          <w:tcPr>
            <w:tcW w:w="774" w:type="dxa"/>
            <w:shd w:val="clear" w:color="auto" w:fill="auto"/>
            <w:noWrap/>
            <w:vAlign w:val="bottom"/>
            <w:hideMark/>
          </w:tcPr>
          <w:p w:rsidR="007C6ACE" w:rsidRPr="00CD2253" w:rsidRDefault="007C6ACE" w:rsidP="007C6ACE">
            <w:pPr>
              <w:spacing w:after="0" w:line="240" w:lineRule="auto"/>
              <w:jc w:val="right"/>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1484</w:t>
            </w:r>
          </w:p>
        </w:tc>
        <w:tc>
          <w:tcPr>
            <w:tcW w:w="8024" w:type="dxa"/>
            <w:shd w:val="clear" w:color="auto" w:fill="auto"/>
            <w:noWrap/>
            <w:vAlign w:val="bottom"/>
            <w:hideMark/>
          </w:tcPr>
          <w:p w:rsidR="007C6ACE" w:rsidRPr="00CD2253" w:rsidRDefault="007C6ACE" w:rsidP="007C6ACE">
            <w:pPr>
              <w:spacing w:after="0" w:line="240" w:lineRule="auto"/>
              <w:rPr>
                <w:rFonts w:asciiTheme="minorHAnsi" w:eastAsia="Times New Roman" w:hAnsiTheme="minorHAnsi" w:cs="Arial"/>
                <w:color w:val="000000"/>
                <w:sz w:val="20"/>
                <w:szCs w:val="20"/>
              </w:rPr>
            </w:pPr>
            <w:r w:rsidRPr="00CD2253">
              <w:rPr>
                <w:rFonts w:asciiTheme="minorHAnsi" w:eastAsia="Times New Roman" w:hAnsiTheme="minorHAnsi" w:cs="Arial"/>
                <w:color w:val="000000"/>
                <w:sz w:val="20"/>
                <w:szCs w:val="20"/>
              </w:rPr>
              <w:t>Cartera de créditos de inversión pública reestructurada que no devenga intereses</w:t>
            </w:r>
          </w:p>
        </w:tc>
      </w:tr>
    </w:tbl>
    <w:p w:rsidR="00B245DE" w:rsidRPr="00230CA8" w:rsidRDefault="00B245DE" w:rsidP="00230CA8">
      <w:pPr>
        <w:spacing w:after="0" w:line="240" w:lineRule="auto"/>
        <w:rPr>
          <w:rFonts w:asciiTheme="minorHAnsi" w:hAnsiTheme="minorHAnsi" w:cs="Arial"/>
          <w:sz w:val="20"/>
          <w:szCs w:val="20"/>
        </w:rPr>
      </w:pPr>
    </w:p>
    <w:sectPr w:rsidR="00B245DE" w:rsidRPr="00230CA8" w:rsidSect="009B1DB6">
      <w:headerReference w:type="default" r:id="rId9"/>
      <w:footerReference w:type="default" r:id="rId10"/>
      <w:pgSz w:w="12240" w:h="15840"/>
      <w:pgMar w:top="1418" w:right="1701"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3E5" w:rsidRDefault="003753E5" w:rsidP="00004233">
      <w:pPr>
        <w:spacing w:after="0" w:line="240" w:lineRule="auto"/>
      </w:pPr>
      <w:r>
        <w:separator/>
      </w:r>
    </w:p>
  </w:endnote>
  <w:endnote w:type="continuationSeparator" w:id="0">
    <w:p w:rsidR="003753E5" w:rsidRDefault="003753E5" w:rsidP="00004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699044"/>
      <w:docPartObj>
        <w:docPartGallery w:val="Page Numbers (Bottom of Page)"/>
        <w:docPartUnique/>
      </w:docPartObj>
    </w:sdtPr>
    <w:sdtEndPr/>
    <w:sdtContent>
      <w:p w:rsidR="0068736A" w:rsidRDefault="0068736A">
        <w:pPr>
          <w:pStyle w:val="Piedepgina"/>
          <w:jc w:val="center"/>
        </w:pPr>
        <w:r>
          <w:fldChar w:fldCharType="begin"/>
        </w:r>
        <w:r>
          <w:instrText>PAGE   \* MERGEFORMAT</w:instrText>
        </w:r>
        <w:r>
          <w:fldChar w:fldCharType="separate"/>
        </w:r>
        <w:r w:rsidR="00790D20" w:rsidRPr="00790D20">
          <w:rPr>
            <w:noProof/>
            <w:lang w:val="es-ES"/>
          </w:rPr>
          <w:t>3</w:t>
        </w:r>
        <w:r>
          <w:fldChar w:fldCharType="end"/>
        </w:r>
      </w:p>
    </w:sdtContent>
  </w:sdt>
  <w:p w:rsidR="0068736A" w:rsidRDefault="0068736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3E5" w:rsidRDefault="003753E5" w:rsidP="00004233">
      <w:pPr>
        <w:spacing w:after="0" w:line="240" w:lineRule="auto"/>
      </w:pPr>
      <w:r>
        <w:separator/>
      </w:r>
    </w:p>
  </w:footnote>
  <w:footnote w:type="continuationSeparator" w:id="0">
    <w:p w:rsidR="003753E5" w:rsidRDefault="003753E5" w:rsidP="00004233">
      <w:pPr>
        <w:spacing w:after="0" w:line="240" w:lineRule="auto"/>
      </w:pPr>
      <w:r>
        <w:continuationSeparator/>
      </w:r>
    </w:p>
  </w:footnote>
  <w:footnote w:id="1">
    <w:p w:rsidR="00EB7BC7" w:rsidRPr="00CD2253" w:rsidRDefault="00EB7BC7">
      <w:pPr>
        <w:pStyle w:val="Textonotapie"/>
        <w:rPr>
          <w:rFonts w:asciiTheme="minorHAnsi" w:hAnsiTheme="minorHAnsi"/>
          <w:sz w:val="18"/>
          <w:szCs w:val="18"/>
        </w:rPr>
      </w:pPr>
      <w:r w:rsidRPr="00CD2253">
        <w:rPr>
          <w:rStyle w:val="Refdenotaalpie"/>
          <w:rFonts w:asciiTheme="minorHAnsi" w:hAnsiTheme="minorHAnsi"/>
          <w:sz w:val="18"/>
          <w:szCs w:val="18"/>
        </w:rPr>
        <w:footnoteRef/>
      </w:r>
      <w:r w:rsidRPr="00CD2253">
        <w:rPr>
          <w:rFonts w:asciiTheme="minorHAnsi" w:hAnsiTheme="minorHAnsi"/>
          <w:sz w:val="18"/>
          <w:szCs w:val="18"/>
        </w:rPr>
        <w:t xml:space="preserve"> </w:t>
      </w:r>
      <w:r w:rsidRPr="00CD2253">
        <w:rPr>
          <w:rFonts w:asciiTheme="minorHAnsi" w:hAnsiTheme="minorHAnsi" w:cs="Arial"/>
          <w:iCs/>
          <w:color w:val="000000"/>
          <w:sz w:val="18"/>
          <w:szCs w:val="18"/>
        </w:rPr>
        <w:t>Indicadores de solidez financiera: Guía de compilación—Washington, D.C: Fondo Monetario Internacional, 2006, 6.54, p.90.</w:t>
      </w:r>
    </w:p>
  </w:footnote>
  <w:footnote w:id="2">
    <w:p w:rsidR="00EB7BC7" w:rsidRPr="00CD2253" w:rsidRDefault="00EB7BC7" w:rsidP="00EB7BC7">
      <w:pPr>
        <w:autoSpaceDE w:val="0"/>
        <w:autoSpaceDN w:val="0"/>
        <w:adjustRightInd w:val="0"/>
        <w:spacing w:after="0" w:line="240" w:lineRule="auto"/>
        <w:jc w:val="both"/>
        <w:rPr>
          <w:rFonts w:asciiTheme="minorHAnsi" w:hAnsiTheme="minorHAnsi" w:cs="Arial"/>
          <w:iCs/>
          <w:color w:val="000000"/>
          <w:sz w:val="18"/>
          <w:szCs w:val="18"/>
          <w:lang w:eastAsia="en-US"/>
        </w:rPr>
      </w:pPr>
      <w:r w:rsidRPr="00CD2253">
        <w:rPr>
          <w:rStyle w:val="Refdenotaalpie"/>
          <w:rFonts w:asciiTheme="minorHAnsi" w:hAnsiTheme="minorHAnsi"/>
          <w:sz w:val="18"/>
          <w:szCs w:val="18"/>
        </w:rPr>
        <w:footnoteRef/>
      </w:r>
      <w:r w:rsidRPr="00CD2253">
        <w:rPr>
          <w:rFonts w:asciiTheme="minorHAnsi" w:hAnsiTheme="minorHAnsi"/>
          <w:sz w:val="18"/>
          <w:szCs w:val="18"/>
        </w:rPr>
        <w:t xml:space="preserve"> </w:t>
      </w:r>
      <w:proofErr w:type="spellStart"/>
      <w:r w:rsidRPr="00CD2253">
        <w:rPr>
          <w:rFonts w:asciiTheme="minorHAnsi" w:hAnsiTheme="minorHAnsi" w:cs="Arial"/>
          <w:iCs/>
          <w:color w:val="000000"/>
          <w:sz w:val="18"/>
          <w:szCs w:val="18"/>
          <w:lang w:eastAsia="en-US"/>
        </w:rPr>
        <w:t>Ibid</w:t>
      </w:r>
      <w:proofErr w:type="spellEnd"/>
      <w:r w:rsidRPr="00CD2253">
        <w:rPr>
          <w:rFonts w:asciiTheme="minorHAnsi" w:hAnsiTheme="minorHAnsi" w:cs="Arial"/>
          <w:iCs/>
          <w:color w:val="000000"/>
          <w:sz w:val="18"/>
          <w:szCs w:val="18"/>
          <w:lang w:eastAsia="en-US"/>
        </w:rPr>
        <w:t>.</w:t>
      </w:r>
    </w:p>
    <w:p w:rsidR="00EB7BC7" w:rsidRDefault="00EB7BC7">
      <w:pPr>
        <w:pStyle w:val="Textonotapie"/>
      </w:pPr>
    </w:p>
  </w:footnote>
  <w:footnote w:id="3">
    <w:p w:rsidR="00734D2F" w:rsidRPr="00F20331" w:rsidRDefault="00734D2F" w:rsidP="00F20331">
      <w:pPr>
        <w:autoSpaceDE w:val="0"/>
        <w:autoSpaceDN w:val="0"/>
        <w:adjustRightInd w:val="0"/>
        <w:spacing w:after="0" w:line="240" w:lineRule="auto"/>
        <w:jc w:val="both"/>
        <w:rPr>
          <w:rFonts w:ascii="Arial" w:hAnsi="Arial" w:cs="Arial"/>
          <w:sz w:val="16"/>
          <w:szCs w:val="16"/>
          <w:lang w:eastAsia="en-US"/>
        </w:rPr>
      </w:pPr>
      <w:r>
        <w:rPr>
          <w:rStyle w:val="Refdenotaalpie"/>
        </w:rPr>
        <w:footnoteRef/>
      </w:r>
      <w:r w:rsidR="00790D20">
        <w:rPr>
          <w:rFonts w:ascii="Arial" w:hAnsi="Arial" w:cs="Arial"/>
          <w:sz w:val="16"/>
          <w:szCs w:val="16"/>
          <w:lang w:eastAsia="en-US"/>
        </w:rPr>
        <w:t xml:space="preserve">FMI, Indicadores de Solidez Financiera, </w:t>
      </w:r>
      <w:proofErr w:type="spellStart"/>
      <w:r w:rsidR="00790D20">
        <w:rPr>
          <w:rFonts w:ascii="Arial" w:hAnsi="Arial" w:cs="Arial"/>
          <w:sz w:val="16"/>
          <w:szCs w:val="16"/>
          <w:lang w:eastAsia="en-US"/>
        </w:rPr>
        <w:t>Guia</w:t>
      </w:r>
      <w:proofErr w:type="spellEnd"/>
      <w:r w:rsidR="00790D20">
        <w:rPr>
          <w:rFonts w:ascii="Arial" w:hAnsi="Arial" w:cs="Arial"/>
          <w:sz w:val="16"/>
          <w:szCs w:val="16"/>
          <w:lang w:eastAsia="en-US"/>
        </w:rPr>
        <w:t xml:space="preserve"> de Compilación, 2006, p 90</w:t>
      </w:r>
      <w:bookmarkStart w:id="0" w:name="_GoBack"/>
      <w:bookmarkEnd w:id="0"/>
      <w:r w:rsidR="00790D20">
        <w:rPr>
          <w:rFonts w:ascii="Arial" w:hAnsi="Arial" w:cs="Arial"/>
          <w:sz w:val="16"/>
          <w:szCs w:val="16"/>
          <w:lang w:eastAsia="en-US"/>
        </w:rPr>
        <w:t xml:space="preserve">. </w:t>
      </w:r>
      <w:r w:rsidRPr="00F20331">
        <w:rPr>
          <w:rFonts w:ascii="Arial" w:hAnsi="Arial" w:cs="Arial"/>
          <w:sz w:val="16"/>
          <w:szCs w:val="16"/>
          <w:lang w:eastAsia="en-US"/>
        </w:rPr>
        <w:t>A nivel  internacional la cartera en mora incluye la totalidad de los préstamos que tienen cuotas vencidas, refinanciadas, reestructuradas, es decir</w:t>
      </w:r>
      <w:r w:rsidR="00F20331">
        <w:rPr>
          <w:rFonts w:ascii="Arial" w:hAnsi="Arial" w:cs="Arial"/>
          <w:sz w:val="16"/>
          <w:szCs w:val="16"/>
          <w:lang w:eastAsia="en-US"/>
        </w:rPr>
        <w:t xml:space="preserve"> </w:t>
      </w:r>
      <w:r w:rsidRPr="00F20331">
        <w:rPr>
          <w:rFonts w:ascii="Arial" w:hAnsi="Arial" w:cs="Arial"/>
          <w:sz w:val="16"/>
          <w:szCs w:val="16"/>
          <w:lang w:eastAsia="en-US"/>
        </w:rPr>
        <w:t xml:space="preserve"> se considera el concepto de cartera en riesgo en lugar de cartera improductiva. La morosidad de cartera debe ser evaluada por varios factores:</w:t>
      </w:r>
      <w:r w:rsidR="00F20331">
        <w:rPr>
          <w:rFonts w:ascii="Arial" w:hAnsi="Arial" w:cs="Arial"/>
          <w:sz w:val="16"/>
          <w:szCs w:val="16"/>
          <w:lang w:eastAsia="en-US"/>
        </w:rPr>
        <w:t xml:space="preserve"> d</w:t>
      </w:r>
      <w:r w:rsidRPr="00F20331">
        <w:rPr>
          <w:rFonts w:ascii="Arial" w:hAnsi="Arial" w:cs="Arial"/>
          <w:sz w:val="16"/>
          <w:szCs w:val="16"/>
          <w:lang w:eastAsia="en-US"/>
        </w:rPr>
        <w:t>e acuerdo a la línea de negocio, la cobertura de provisiones, a la existencia de garantías, etc.</w:t>
      </w:r>
      <w:r w:rsidR="00F20331" w:rsidRPr="00F20331">
        <w:rPr>
          <w:rFonts w:ascii="Arial" w:hAnsi="Arial" w:cs="Arial"/>
          <w:sz w:val="16"/>
          <w:szCs w:val="16"/>
          <w:lang w:eastAsia="en-US"/>
        </w:rPr>
        <w:t xml:space="preserve"> </w:t>
      </w:r>
      <w:r w:rsidRPr="00F20331">
        <w:rPr>
          <w:rFonts w:ascii="Arial" w:hAnsi="Arial" w:cs="Arial"/>
          <w:sz w:val="16"/>
          <w:szCs w:val="16"/>
          <w:lang w:eastAsia="en-US"/>
        </w:rPr>
        <w:t>Por tanto no se puede establecer una línea de alerta puntual.</w:t>
      </w:r>
    </w:p>
  </w:footnote>
  <w:footnote w:id="4">
    <w:p w:rsidR="000346B3" w:rsidRPr="000346B3" w:rsidRDefault="000346B3" w:rsidP="00F20331">
      <w:pPr>
        <w:pStyle w:val="Textonotapie"/>
        <w:jc w:val="both"/>
        <w:rPr>
          <w:lang w:val="es-ES"/>
        </w:rPr>
      </w:pPr>
      <w:r>
        <w:rPr>
          <w:rStyle w:val="Refdenotaalpie"/>
        </w:rPr>
        <w:footnoteRef/>
      </w:r>
      <w:r>
        <w:t xml:space="preserve"> </w:t>
      </w:r>
      <w:r w:rsidRPr="00C62A67">
        <w:rPr>
          <w:rFonts w:ascii="Arial" w:hAnsi="Arial" w:cs="Arial"/>
          <w:sz w:val="16"/>
          <w:szCs w:val="16"/>
        </w:rPr>
        <w:t>A</w:t>
      </w:r>
      <w:r w:rsidR="000073E8" w:rsidRPr="00C62A67">
        <w:rPr>
          <w:rFonts w:ascii="Arial" w:hAnsi="Arial" w:cs="Arial"/>
          <w:sz w:val="16"/>
          <w:szCs w:val="16"/>
        </w:rPr>
        <w:t xml:space="preserve"> </w:t>
      </w:r>
      <w:r w:rsidRPr="00C62A67">
        <w:rPr>
          <w:rFonts w:ascii="Arial" w:hAnsi="Arial" w:cs="Arial"/>
          <w:sz w:val="16"/>
          <w:szCs w:val="16"/>
        </w:rPr>
        <w:t>nivel nacional (Instituciones financieras bajo el control de la Superintendencia de Bancos).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36A" w:rsidRDefault="0068736A" w:rsidP="00C761BA">
    <w:pPr>
      <w:pStyle w:val="Encabezado"/>
      <w:tabs>
        <w:tab w:val="clear" w:pos="8838"/>
        <w:tab w:val="right" w:pos="10632"/>
      </w:tabs>
      <w:ind w:left="-1701" w:right="-16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FC1"/>
    <w:multiLevelType w:val="hybridMultilevel"/>
    <w:tmpl w:val="98CE7E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9847E6"/>
    <w:multiLevelType w:val="hybridMultilevel"/>
    <w:tmpl w:val="11C069A4"/>
    <w:lvl w:ilvl="0" w:tplc="300A000F">
      <w:start w:val="1"/>
      <w:numFmt w:val="decimal"/>
      <w:lvlText w:val="%1."/>
      <w:lvlJc w:val="left"/>
      <w:pPr>
        <w:ind w:left="720" w:hanging="360"/>
      </w:pPr>
      <w:rPr>
        <w:rFonts w:eastAsia="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102B729D"/>
    <w:multiLevelType w:val="hybridMultilevel"/>
    <w:tmpl w:val="844278C2"/>
    <w:lvl w:ilvl="0" w:tplc="300A0019">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
    <w:nsid w:val="10B80A65"/>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161A1955"/>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73030B0"/>
    <w:multiLevelType w:val="hybridMultilevel"/>
    <w:tmpl w:val="1CCC2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9895E60"/>
    <w:multiLevelType w:val="hybridMultilevel"/>
    <w:tmpl w:val="CBFC141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1D7E2657"/>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232B576B"/>
    <w:multiLevelType w:val="hybridMultilevel"/>
    <w:tmpl w:val="E9922EE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9">
    <w:nsid w:val="2E703BEC"/>
    <w:multiLevelType w:val="hybridMultilevel"/>
    <w:tmpl w:val="6D967F8C"/>
    <w:lvl w:ilvl="0" w:tplc="8DEC375E">
      <w:start w:val="1"/>
      <w:numFmt w:val="bullet"/>
      <w:lvlText w:val=""/>
      <w:lvlJc w:val="left"/>
      <w:pPr>
        <w:ind w:left="360" w:hanging="360"/>
      </w:pPr>
      <w:rPr>
        <w:rFonts w:ascii="Symbol" w:eastAsia="Calibri"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303E05A8"/>
    <w:multiLevelType w:val="hybridMultilevel"/>
    <w:tmpl w:val="464899F2"/>
    <w:lvl w:ilvl="0" w:tplc="5ABC5AD6">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304052FE"/>
    <w:multiLevelType w:val="hybridMultilevel"/>
    <w:tmpl w:val="398031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0ED37B2"/>
    <w:multiLevelType w:val="hybridMultilevel"/>
    <w:tmpl w:val="C0E83C4C"/>
    <w:lvl w:ilvl="0" w:tplc="E050DA46">
      <w:start w:val="2"/>
      <w:numFmt w:val="lowerLetter"/>
      <w:lvlText w:val="%1)"/>
      <w:lvlJc w:val="left"/>
      <w:pPr>
        <w:ind w:left="144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32965621"/>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34C057DF"/>
    <w:multiLevelType w:val="hybridMultilevel"/>
    <w:tmpl w:val="7A36DC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A4D6672"/>
    <w:multiLevelType w:val="hybridMultilevel"/>
    <w:tmpl w:val="7B583D14"/>
    <w:lvl w:ilvl="0" w:tplc="300A000F">
      <w:start w:val="1"/>
      <w:numFmt w:val="decimal"/>
      <w:lvlText w:val="%1."/>
      <w:lvlJc w:val="left"/>
      <w:pPr>
        <w:ind w:left="720" w:hanging="360"/>
      </w:pPr>
      <w:rPr>
        <w:rFonts w:hint="default"/>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3A6D35C2"/>
    <w:multiLevelType w:val="hybridMultilevel"/>
    <w:tmpl w:val="02D26F56"/>
    <w:lvl w:ilvl="0" w:tplc="300A000F">
      <w:start w:val="1"/>
      <w:numFmt w:val="decimal"/>
      <w:lvlText w:val="%1."/>
      <w:lvlJc w:val="left"/>
      <w:pPr>
        <w:ind w:left="783" w:hanging="360"/>
      </w:pPr>
    </w:lvl>
    <w:lvl w:ilvl="1" w:tplc="300A0019" w:tentative="1">
      <w:start w:val="1"/>
      <w:numFmt w:val="lowerLetter"/>
      <w:lvlText w:val="%2."/>
      <w:lvlJc w:val="left"/>
      <w:pPr>
        <w:ind w:left="1503" w:hanging="360"/>
      </w:pPr>
    </w:lvl>
    <w:lvl w:ilvl="2" w:tplc="300A001B" w:tentative="1">
      <w:start w:val="1"/>
      <w:numFmt w:val="lowerRoman"/>
      <w:lvlText w:val="%3."/>
      <w:lvlJc w:val="right"/>
      <w:pPr>
        <w:ind w:left="2223" w:hanging="180"/>
      </w:pPr>
    </w:lvl>
    <w:lvl w:ilvl="3" w:tplc="300A000F" w:tentative="1">
      <w:start w:val="1"/>
      <w:numFmt w:val="decimal"/>
      <w:lvlText w:val="%4."/>
      <w:lvlJc w:val="left"/>
      <w:pPr>
        <w:ind w:left="2943" w:hanging="360"/>
      </w:pPr>
    </w:lvl>
    <w:lvl w:ilvl="4" w:tplc="300A0019" w:tentative="1">
      <w:start w:val="1"/>
      <w:numFmt w:val="lowerLetter"/>
      <w:lvlText w:val="%5."/>
      <w:lvlJc w:val="left"/>
      <w:pPr>
        <w:ind w:left="3663" w:hanging="360"/>
      </w:pPr>
    </w:lvl>
    <w:lvl w:ilvl="5" w:tplc="300A001B" w:tentative="1">
      <w:start w:val="1"/>
      <w:numFmt w:val="lowerRoman"/>
      <w:lvlText w:val="%6."/>
      <w:lvlJc w:val="right"/>
      <w:pPr>
        <w:ind w:left="4383" w:hanging="180"/>
      </w:pPr>
    </w:lvl>
    <w:lvl w:ilvl="6" w:tplc="300A000F" w:tentative="1">
      <w:start w:val="1"/>
      <w:numFmt w:val="decimal"/>
      <w:lvlText w:val="%7."/>
      <w:lvlJc w:val="left"/>
      <w:pPr>
        <w:ind w:left="5103" w:hanging="360"/>
      </w:pPr>
    </w:lvl>
    <w:lvl w:ilvl="7" w:tplc="300A0019" w:tentative="1">
      <w:start w:val="1"/>
      <w:numFmt w:val="lowerLetter"/>
      <w:lvlText w:val="%8."/>
      <w:lvlJc w:val="left"/>
      <w:pPr>
        <w:ind w:left="5823" w:hanging="360"/>
      </w:pPr>
    </w:lvl>
    <w:lvl w:ilvl="8" w:tplc="300A001B" w:tentative="1">
      <w:start w:val="1"/>
      <w:numFmt w:val="lowerRoman"/>
      <w:lvlText w:val="%9."/>
      <w:lvlJc w:val="right"/>
      <w:pPr>
        <w:ind w:left="6543" w:hanging="180"/>
      </w:pPr>
    </w:lvl>
  </w:abstractNum>
  <w:abstractNum w:abstractNumId="17">
    <w:nsid w:val="41D82C41"/>
    <w:multiLevelType w:val="hybridMultilevel"/>
    <w:tmpl w:val="DE9EEC3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5481292C"/>
    <w:multiLevelType w:val="hybridMultilevel"/>
    <w:tmpl w:val="6D7458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5F934D49"/>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nsid w:val="5FED4714"/>
    <w:multiLevelType w:val="hybridMultilevel"/>
    <w:tmpl w:val="B8E4B5D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1">
    <w:nsid w:val="643047BB"/>
    <w:multiLevelType w:val="hybridMultilevel"/>
    <w:tmpl w:val="3508E4DA"/>
    <w:lvl w:ilvl="0" w:tplc="AD26283C">
      <w:start w:val="1"/>
      <w:numFmt w:val="lowerLetter"/>
      <w:lvlText w:val="%1)"/>
      <w:lvlJc w:val="left"/>
      <w:pPr>
        <w:ind w:left="1080" w:hanging="360"/>
      </w:pPr>
      <w:rPr>
        <w:b/>
        <w:color w:val="1F497D"/>
      </w:rPr>
    </w:lvl>
    <w:lvl w:ilvl="1" w:tplc="300A0013">
      <w:start w:val="1"/>
      <w:numFmt w:val="upperRoman"/>
      <w:lvlText w:val="%2."/>
      <w:lvlJc w:val="right"/>
      <w:pPr>
        <w:ind w:left="1800" w:hanging="360"/>
      </w:pPr>
    </w:lvl>
    <w:lvl w:ilvl="2" w:tplc="0C0A0019">
      <w:start w:val="1"/>
      <w:numFmt w:val="lowerLetter"/>
      <w:lvlText w:val="%3."/>
      <w:lvlJc w:val="lef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656E77C2"/>
    <w:multiLevelType w:val="hybridMultilevel"/>
    <w:tmpl w:val="3CBEC5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659A0C2A"/>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680A140A"/>
    <w:multiLevelType w:val="hybridMultilevel"/>
    <w:tmpl w:val="DB38A18A"/>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6AC260AB"/>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6DE074A8"/>
    <w:multiLevelType w:val="hybridMultilevel"/>
    <w:tmpl w:val="9EA467BE"/>
    <w:lvl w:ilvl="0" w:tplc="B6A21D90">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nsid w:val="6EB31B44"/>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9">
    <w:nsid w:val="70454A30"/>
    <w:multiLevelType w:val="hybridMultilevel"/>
    <w:tmpl w:val="B706104C"/>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0">
    <w:nsid w:val="72A4445B"/>
    <w:multiLevelType w:val="hybridMultilevel"/>
    <w:tmpl w:val="63F8A23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nsid w:val="784822CC"/>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2">
    <w:nsid w:val="7A3F1A6E"/>
    <w:multiLevelType w:val="hybridMultilevel"/>
    <w:tmpl w:val="B6905F14"/>
    <w:lvl w:ilvl="0" w:tplc="1AC45484">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2"/>
  </w:num>
  <w:num w:numId="2">
    <w:abstractNumId w:val="21"/>
  </w:num>
  <w:num w:numId="3">
    <w:abstractNumId w:val="32"/>
  </w:num>
  <w:num w:numId="4">
    <w:abstractNumId w:val="21"/>
  </w:num>
  <w:num w:numId="5">
    <w:abstractNumId w:val="22"/>
  </w:num>
  <w:num w:numId="6">
    <w:abstractNumId w:val="27"/>
  </w:num>
  <w:num w:numId="7">
    <w:abstractNumId w:val="10"/>
  </w:num>
  <w:num w:numId="8">
    <w:abstractNumId w:val="11"/>
  </w:num>
  <w:num w:numId="9">
    <w:abstractNumId w:val="16"/>
  </w:num>
  <w:num w:numId="10">
    <w:abstractNumId w:val="0"/>
  </w:num>
  <w:num w:numId="11">
    <w:abstractNumId w:val="24"/>
  </w:num>
  <w:num w:numId="12">
    <w:abstractNumId w:val="6"/>
  </w:num>
  <w:num w:numId="13">
    <w:abstractNumId w:val="2"/>
  </w:num>
  <w:num w:numId="14">
    <w:abstractNumId w:val="18"/>
  </w:num>
  <w:num w:numId="15">
    <w:abstractNumId w:val="25"/>
  </w:num>
  <w:num w:numId="16">
    <w:abstractNumId w:val="26"/>
  </w:num>
  <w:num w:numId="17">
    <w:abstractNumId w:val="17"/>
  </w:num>
  <w:num w:numId="18">
    <w:abstractNumId w:val="8"/>
  </w:num>
  <w:num w:numId="19">
    <w:abstractNumId w:val="13"/>
  </w:num>
  <w:num w:numId="20">
    <w:abstractNumId w:val="31"/>
  </w:num>
  <w:num w:numId="21">
    <w:abstractNumId w:val="3"/>
  </w:num>
  <w:num w:numId="22">
    <w:abstractNumId w:val="4"/>
  </w:num>
  <w:num w:numId="23">
    <w:abstractNumId w:val="19"/>
  </w:num>
  <w:num w:numId="24">
    <w:abstractNumId w:val="20"/>
  </w:num>
  <w:num w:numId="25">
    <w:abstractNumId w:val="29"/>
  </w:num>
  <w:num w:numId="26">
    <w:abstractNumId w:val="28"/>
  </w:num>
  <w:num w:numId="27">
    <w:abstractNumId w:val="12"/>
  </w:num>
  <w:num w:numId="28">
    <w:abstractNumId w:val="1"/>
  </w:num>
  <w:num w:numId="29">
    <w:abstractNumId w:val="23"/>
  </w:num>
  <w:num w:numId="30">
    <w:abstractNumId w:val="7"/>
  </w:num>
  <w:num w:numId="31">
    <w:abstractNumId w:val="15"/>
  </w:num>
  <w:num w:numId="32">
    <w:abstractNumId w:val="9"/>
  </w:num>
  <w:num w:numId="33">
    <w:abstractNumId w:val="30"/>
  </w:num>
  <w:num w:numId="34">
    <w:abstractNumId w:val="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74"/>
    <w:rsid w:val="00004233"/>
    <w:rsid w:val="000042E6"/>
    <w:rsid w:val="0000451E"/>
    <w:rsid w:val="000073E8"/>
    <w:rsid w:val="00025A34"/>
    <w:rsid w:val="000266D8"/>
    <w:rsid w:val="00026754"/>
    <w:rsid w:val="00026758"/>
    <w:rsid w:val="00030D84"/>
    <w:rsid w:val="000320E4"/>
    <w:rsid w:val="000346B3"/>
    <w:rsid w:val="00041571"/>
    <w:rsid w:val="00041924"/>
    <w:rsid w:val="00046841"/>
    <w:rsid w:val="000469FE"/>
    <w:rsid w:val="00060634"/>
    <w:rsid w:val="000752AE"/>
    <w:rsid w:val="00083763"/>
    <w:rsid w:val="0008444D"/>
    <w:rsid w:val="00087B2C"/>
    <w:rsid w:val="00090B56"/>
    <w:rsid w:val="00091854"/>
    <w:rsid w:val="00093CF7"/>
    <w:rsid w:val="000A78F9"/>
    <w:rsid w:val="000B3A38"/>
    <w:rsid w:val="000E36CA"/>
    <w:rsid w:val="000F6103"/>
    <w:rsid w:val="000F61BE"/>
    <w:rsid w:val="000F6826"/>
    <w:rsid w:val="00110501"/>
    <w:rsid w:val="0011224F"/>
    <w:rsid w:val="001122E5"/>
    <w:rsid w:val="001128DB"/>
    <w:rsid w:val="00116777"/>
    <w:rsid w:val="00122018"/>
    <w:rsid w:val="00125ACA"/>
    <w:rsid w:val="00127CF4"/>
    <w:rsid w:val="0016157E"/>
    <w:rsid w:val="001A38FB"/>
    <w:rsid w:val="001B103A"/>
    <w:rsid w:val="001C02DB"/>
    <w:rsid w:val="001F3F7A"/>
    <w:rsid w:val="00203D55"/>
    <w:rsid w:val="00224EC3"/>
    <w:rsid w:val="00230CA8"/>
    <w:rsid w:val="002327B9"/>
    <w:rsid w:val="00235176"/>
    <w:rsid w:val="002353A9"/>
    <w:rsid w:val="00245AC4"/>
    <w:rsid w:val="0025044C"/>
    <w:rsid w:val="00250DCD"/>
    <w:rsid w:val="00254D02"/>
    <w:rsid w:val="0026798D"/>
    <w:rsid w:val="002731DC"/>
    <w:rsid w:val="002761A1"/>
    <w:rsid w:val="0028114C"/>
    <w:rsid w:val="00284EE6"/>
    <w:rsid w:val="0029263E"/>
    <w:rsid w:val="00295EB0"/>
    <w:rsid w:val="002A22DC"/>
    <w:rsid w:val="002A3FDB"/>
    <w:rsid w:val="002A4C34"/>
    <w:rsid w:val="002A7799"/>
    <w:rsid w:val="002C09BB"/>
    <w:rsid w:val="002D24B0"/>
    <w:rsid w:val="002D2F67"/>
    <w:rsid w:val="002D30BE"/>
    <w:rsid w:val="002D48C0"/>
    <w:rsid w:val="002E2191"/>
    <w:rsid w:val="002E61D6"/>
    <w:rsid w:val="002F1468"/>
    <w:rsid w:val="002F551C"/>
    <w:rsid w:val="00304F9F"/>
    <w:rsid w:val="003051B7"/>
    <w:rsid w:val="003152F2"/>
    <w:rsid w:val="00324F83"/>
    <w:rsid w:val="00333459"/>
    <w:rsid w:val="00344509"/>
    <w:rsid w:val="0035276D"/>
    <w:rsid w:val="003527C4"/>
    <w:rsid w:val="00356EE2"/>
    <w:rsid w:val="0037256F"/>
    <w:rsid w:val="003753E5"/>
    <w:rsid w:val="00382368"/>
    <w:rsid w:val="0038632D"/>
    <w:rsid w:val="003A12C8"/>
    <w:rsid w:val="003A2829"/>
    <w:rsid w:val="003A2923"/>
    <w:rsid w:val="003A4EAB"/>
    <w:rsid w:val="003B4799"/>
    <w:rsid w:val="003C67EC"/>
    <w:rsid w:val="003D1974"/>
    <w:rsid w:val="003F274D"/>
    <w:rsid w:val="004113F0"/>
    <w:rsid w:val="00412604"/>
    <w:rsid w:val="004561E1"/>
    <w:rsid w:val="0047438F"/>
    <w:rsid w:val="004933D5"/>
    <w:rsid w:val="004A0DC0"/>
    <w:rsid w:val="004A11DE"/>
    <w:rsid w:val="004A6C98"/>
    <w:rsid w:val="004A7459"/>
    <w:rsid w:val="004B398D"/>
    <w:rsid w:val="004C1080"/>
    <w:rsid w:val="004E0B76"/>
    <w:rsid w:val="004E4B6E"/>
    <w:rsid w:val="004E7BA5"/>
    <w:rsid w:val="004F3C0A"/>
    <w:rsid w:val="004F54AB"/>
    <w:rsid w:val="005017DB"/>
    <w:rsid w:val="0050183C"/>
    <w:rsid w:val="00505C67"/>
    <w:rsid w:val="00515CFF"/>
    <w:rsid w:val="00517AA7"/>
    <w:rsid w:val="00523E51"/>
    <w:rsid w:val="00526D9D"/>
    <w:rsid w:val="00527883"/>
    <w:rsid w:val="00537F96"/>
    <w:rsid w:val="005463EE"/>
    <w:rsid w:val="005470EF"/>
    <w:rsid w:val="00550617"/>
    <w:rsid w:val="00552849"/>
    <w:rsid w:val="005567C0"/>
    <w:rsid w:val="005653D1"/>
    <w:rsid w:val="005717FA"/>
    <w:rsid w:val="00590CFE"/>
    <w:rsid w:val="0059347C"/>
    <w:rsid w:val="0059618A"/>
    <w:rsid w:val="00597C46"/>
    <w:rsid w:val="005A0B89"/>
    <w:rsid w:val="005A4990"/>
    <w:rsid w:val="005A5951"/>
    <w:rsid w:val="005B1574"/>
    <w:rsid w:val="005B2D89"/>
    <w:rsid w:val="005B786D"/>
    <w:rsid w:val="005C0B75"/>
    <w:rsid w:val="005D166F"/>
    <w:rsid w:val="005D58F5"/>
    <w:rsid w:val="005E2DED"/>
    <w:rsid w:val="005F2704"/>
    <w:rsid w:val="005F7408"/>
    <w:rsid w:val="005F7A99"/>
    <w:rsid w:val="0060511C"/>
    <w:rsid w:val="00607CFD"/>
    <w:rsid w:val="006102EF"/>
    <w:rsid w:val="0062314A"/>
    <w:rsid w:val="00624E21"/>
    <w:rsid w:val="006271DD"/>
    <w:rsid w:val="006320B4"/>
    <w:rsid w:val="00634E1D"/>
    <w:rsid w:val="00644531"/>
    <w:rsid w:val="006578B6"/>
    <w:rsid w:val="006673DD"/>
    <w:rsid w:val="006729CA"/>
    <w:rsid w:val="00682DA3"/>
    <w:rsid w:val="00686F1A"/>
    <w:rsid w:val="0068736A"/>
    <w:rsid w:val="006A12A8"/>
    <w:rsid w:val="006A6ECC"/>
    <w:rsid w:val="006B0B4B"/>
    <w:rsid w:val="006B211F"/>
    <w:rsid w:val="006B5474"/>
    <w:rsid w:val="006B6641"/>
    <w:rsid w:val="006B6763"/>
    <w:rsid w:val="006D5AA0"/>
    <w:rsid w:val="006E0FDE"/>
    <w:rsid w:val="006E1BD0"/>
    <w:rsid w:val="006E5ADF"/>
    <w:rsid w:val="006E7E1C"/>
    <w:rsid w:val="006F04D4"/>
    <w:rsid w:val="006F7FE0"/>
    <w:rsid w:val="0072090A"/>
    <w:rsid w:val="007235A9"/>
    <w:rsid w:val="0073410E"/>
    <w:rsid w:val="00734D2F"/>
    <w:rsid w:val="00746EBD"/>
    <w:rsid w:val="00750691"/>
    <w:rsid w:val="00751922"/>
    <w:rsid w:val="00752347"/>
    <w:rsid w:val="00762F37"/>
    <w:rsid w:val="007631C0"/>
    <w:rsid w:val="0077080C"/>
    <w:rsid w:val="007743EB"/>
    <w:rsid w:val="007803E8"/>
    <w:rsid w:val="00780EC7"/>
    <w:rsid w:val="0078116A"/>
    <w:rsid w:val="00781F6E"/>
    <w:rsid w:val="00790D20"/>
    <w:rsid w:val="007A5D2F"/>
    <w:rsid w:val="007A7855"/>
    <w:rsid w:val="007A78E9"/>
    <w:rsid w:val="007B055D"/>
    <w:rsid w:val="007B24C0"/>
    <w:rsid w:val="007B51E8"/>
    <w:rsid w:val="007C04C5"/>
    <w:rsid w:val="007C5558"/>
    <w:rsid w:val="007C6ACE"/>
    <w:rsid w:val="007D38F8"/>
    <w:rsid w:val="007D4BA7"/>
    <w:rsid w:val="007E21D1"/>
    <w:rsid w:val="007E7989"/>
    <w:rsid w:val="007F2957"/>
    <w:rsid w:val="0080012F"/>
    <w:rsid w:val="00813B15"/>
    <w:rsid w:val="00817D42"/>
    <w:rsid w:val="00822125"/>
    <w:rsid w:val="008238FF"/>
    <w:rsid w:val="00826954"/>
    <w:rsid w:val="008458EB"/>
    <w:rsid w:val="00846EC4"/>
    <w:rsid w:val="00850AA6"/>
    <w:rsid w:val="00856038"/>
    <w:rsid w:val="00856888"/>
    <w:rsid w:val="00862497"/>
    <w:rsid w:val="00862E77"/>
    <w:rsid w:val="00870E99"/>
    <w:rsid w:val="008765E5"/>
    <w:rsid w:val="008824CA"/>
    <w:rsid w:val="008869E4"/>
    <w:rsid w:val="00892B95"/>
    <w:rsid w:val="008A0722"/>
    <w:rsid w:val="008A4347"/>
    <w:rsid w:val="008A75F3"/>
    <w:rsid w:val="008C59EF"/>
    <w:rsid w:val="008D1A0B"/>
    <w:rsid w:val="008F530F"/>
    <w:rsid w:val="008F5C76"/>
    <w:rsid w:val="00901344"/>
    <w:rsid w:val="00925908"/>
    <w:rsid w:val="0092764D"/>
    <w:rsid w:val="009365AA"/>
    <w:rsid w:val="00941BA5"/>
    <w:rsid w:val="00957D5E"/>
    <w:rsid w:val="00961A34"/>
    <w:rsid w:val="00965CB8"/>
    <w:rsid w:val="00967A9A"/>
    <w:rsid w:val="0098129F"/>
    <w:rsid w:val="009842F9"/>
    <w:rsid w:val="00987563"/>
    <w:rsid w:val="009957E5"/>
    <w:rsid w:val="009A0814"/>
    <w:rsid w:val="009A39CE"/>
    <w:rsid w:val="009B1D28"/>
    <w:rsid w:val="009B1DB6"/>
    <w:rsid w:val="009C1C74"/>
    <w:rsid w:val="009E1AFD"/>
    <w:rsid w:val="00A006ED"/>
    <w:rsid w:val="00A12C20"/>
    <w:rsid w:val="00A1663D"/>
    <w:rsid w:val="00A24CDC"/>
    <w:rsid w:val="00A5438F"/>
    <w:rsid w:val="00A54931"/>
    <w:rsid w:val="00A56008"/>
    <w:rsid w:val="00A56648"/>
    <w:rsid w:val="00A61187"/>
    <w:rsid w:val="00A61982"/>
    <w:rsid w:val="00A62566"/>
    <w:rsid w:val="00A64F29"/>
    <w:rsid w:val="00A65D23"/>
    <w:rsid w:val="00A716E4"/>
    <w:rsid w:val="00A81E5D"/>
    <w:rsid w:val="00A862FC"/>
    <w:rsid w:val="00A91115"/>
    <w:rsid w:val="00A9227C"/>
    <w:rsid w:val="00AA34B2"/>
    <w:rsid w:val="00AA6532"/>
    <w:rsid w:val="00AC0087"/>
    <w:rsid w:val="00AD54AC"/>
    <w:rsid w:val="00AD5934"/>
    <w:rsid w:val="00AD6399"/>
    <w:rsid w:val="00AF4F11"/>
    <w:rsid w:val="00AF5FCB"/>
    <w:rsid w:val="00B01729"/>
    <w:rsid w:val="00B0221D"/>
    <w:rsid w:val="00B14B90"/>
    <w:rsid w:val="00B20D94"/>
    <w:rsid w:val="00B245DE"/>
    <w:rsid w:val="00B273FC"/>
    <w:rsid w:val="00B3041F"/>
    <w:rsid w:val="00B306E9"/>
    <w:rsid w:val="00B32AAF"/>
    <w:rsid w:val="00B3511E"/>
    <w:rsid w:val="00B41863"/>
    <w:rsid w:val="00B46A9F"/>
    <w:rsid w:val="00B53786"/>
    <w:rsid w:val="00B54662"/>
    <w:rsid w:val="00B608DE"/>
    <w:rsid w:val="00B7047F"/>
    <w:rsid w:val="00B71724"/>
    <w:rsid w:val="00B726A4"/>
    <w:rsid w:val="00B7375E"/>
    <w:rsid w:val="00BA0AD0"/>
    <w:rsid w:val="00BA47D6"/>
    <w:rsid w:val="00BA6FAD"/>
    <w:rsid w:val="00BA7ED7"/>
    <w:rsid w:val="00BB5CFE"/>
    <w:rsid w:val="00BD546A"/>
    <w:rsid w:val="00BD651A"/>
    <w:rsid w:val="00BE342E"/>
    <w:rsid w:val="00BE3CBA"/>
    <w:rsid w:val="00BF276D"/>
    <w:rsid w:val="00BF3A3A"/>
    <w:rsid w:val="00BF6BB6"/>
    <w:rsid w:val="00C020D0"/>
    <w:rsid w:val="00C022E1"/>
    <w:rsid w:val="00C02BA7"/>
    <w:rsid w:val="00C10246"/>
    <w:rsid w:val="00C1359A"/>
    <w:rsid w:val="00C1411A"/>
    <w:rsid w:val="00C16F8F"/>
    <w:rsid w:val="00C22AF9"/>
    <w:rsid w:val="00C26D32"/>
    <w:rsid w:val="00C4141E"/>
    <w:rsid w:val="00C43454"/>
    <w:rsid w:val="00C50F24"/>
    <w:rsid w:val="00C616E7"/>
    <w:rsid w:val="00C62A67"/>
    <w:rsid w:val="00C6349C"/>
    <w:rsid w:val="00C67EB3"/>
    <w:rsid w:val="00C72148"/>
    <w:rsid w:val="00C7406A"/>
    <w:rsid w:val="00C761BA"/>
    <w:rsid w:val="00C8339B"/>
    <w:rsid w:val="00C8455D"/>
    <w:rsid w:val="00C91441"/>
    <w:rsid w:val="00C92FB7"/>
    <w:rsid w:val="00C933C6"/>
    <w:rsid w:val="00CB23C2"/>
    <w:rsid w:val="00CB28F7"/>
    <w:rsid w:val="00CB607D"/>
    <w:rsid w:val="00CC2A59"/>
    <w:rsid w:val="00CD2253"/>
    <w:rsid w:val="00CD3B2E"/>
    <w:rsid w:val="00CD6ED1"/>
    <w:rsid w:val="00CE1CF1"/>
    <w:rsid w:val="00CF16E0"/>
    <w:rsid w:val="00D03A69"/>
    <w:rsid w:val="00D03EF1"/>
    <w:rsid w:val="00D055E1"/>
    <w:rsid w:val="00D1104E"/>
    <w:rsid w:val="00D13BC6"/>
    <w:rsid w:val="00D20615"/>
    <w:rsid w:val="00D212F2"/>
    <w:rsid w:val="00D26122"/>
    <w:rsid w:val="00D26863"/>
    <w:rsid w:val="00D323F9"/>
    <w:rsid w:val="00D352FC"/>
    <w:rsid w:val="00D368B3"/>
    <w:rsid w:val="00D37488"/>
    <w:rsid w:val="00D4150C"/>
    <w:rsid w:val="00D42832"/>
    <w:rsid w:val="00D42AC8"/>
    <w:rsid w:val="00D533E6"/>
    <w:rsid w:val="00D60645"/>
    <w:rsid w:val="00D607ED"/>
    <w:rsid w:val="00D8720F"/>
    <w:rsid w:val="00D93674"/>
    <w:rsid w:val="00D968BE"/>
    <w:rsid w:val="00DB0D46"/>
    <w:rsid w:val="00DB7DC1"/>
    <w:rsid w:val="00DD438E"/>
    <w:rsid w:val="00DE2AFA"/>
    <w:rsid w:val="00DE4F95"/>
    <w:rsid w:val="00DF508D"/>
    <w:rsid w:val="00E00319"/>
    <w:rsid w:val="00E07C03"/>
    <w:rsid w:val="00E437F7"/>
    <w:rsid w:val="00E43E02"/>
    <w:rsid w:val="00E556FA"/>
    <w:rsid w:val="00E600FE"/>
    <w:rsid w:val="00E61D26"/>
    <w:rsid w:val="00E63A8C"/>
    <w:rsid w:val="00E71017"/>
    <w:rsid w:val="00E747D0"/>
    <w:rsid w:val="00E7578D"/>
    <w:rsid w:val="00E93E59"/>
    <w:rsid w:val="00EB6C06"/>
    <w:rsid w:val="00EB7BC7"/>
    <w:rsid w:val="00EF1BD0"/>
    <w:rsid w:val="00EF4198"/>
    <w:rsid w:val="00F07F77"/>
    <w:rsid w:val="00F1530A"/>
    <w:rsid w:val="00F16BE0"/>
    <w:rsid w:val="00F20331"/>
    <w:rsid w:val="00F225D2"/>
    <w:rsid w:val="00F22CF3"/>
    <w:rsid w:val="00F24CA7"/>
    <w:rsid w:val="00F30EE6"/>
    <w:rsid w:val="00F35C67"/>
    <w:rsid w:val="00F410D0"/>
    <w:rsid w:val="00F4662C"/>
    <w:rsid w:val="00F55FD0"/>
    <w:rsid w:val="00F60D80"/>
    <w:rsid w:val="00F64B4C"/>
    <w:rsid w:val="00F71E24"/>
    <w:rsid w:val="00F74C87"/>
    <w:rsid w:val="00F931D1"/>
    <w:rsid w:val="00F95298"/>
    <w:rsid w:val="00FA4389"/>
    <w:rsid w:val="00FA6FD4"/>
    <w:rsid w:val="00FB3C61"/>
    <w:rsid w:val="00FC0550"/>
    <w:rsid w:val="00FD201B"/>
    <w:rsid w:val="00FD5B09"/>
    <w:rsid w:val="00FE1326"/>
    <w:rsid w:val="00FE4E31"/>
    <w:rsid w:val="00FF208D"/>
    <w:rsid w:val="00FF37A5"/>
    <w:rsid w:val="00FF4862"/>
    <w:rsid w:val="00FF663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8817">
      <w:bodyDiv w:val="1"/>
      <w:marLeft w:val="0"/>
      <w:marRight w:val="0"/>
      <w:marTop w:val="0"/>
      <w:marBottom w:val="0"/>
      <w:divBdr>
        <w:top w:val="none" w:sz="0" w:space="0" w:color="auto"/>
        <w:left w:val="none" w:sz="0" w:space="0" w:color="auto"/>
        <w:bottom w:val="none" w:sz="0" w:space="0" w:color="auto"/>
        <w:right w:val="none" w:sz="0" w:space="0" w:color="auto"/>
      </w:divBdr>
    </w:div>
    <w:div w:id="17893183">
      <w:bodyDiv w:val="1"/>
      <w:marLeft w:val="0"/>
      <w:marRight w:val="0"/>
      <w:marTop w:val="0"/>
      <w:marBottom w:val="0"/>
      <w:divBdr>
        <w:top w:val="none" w:sz="0" w:space="0" w:color="auto"/>
        <w:left w:val="none" w:sz="0" w:space="0" w:color="auto"/>
        <w:bottom w:val="none" w:sz="0" w:space="0" w:color="auto"/>
        <w:right w:val="none" w:sz="0" w:space="0" w:color="auto"/>
      </w:divBdr>
    </w:div>
    <w:div w:id="44565920">
      <w:bodyDiv w:val="1"/>
      <w:marLeft w:val="0"/>
      <w:marRight w:val="0"/>
      <w:marTop w:val="0"/>
      <w:marBottom w:val="0"/>
      <w:divBdr>
        <w:top w:val="none" w:sz="0" w:space="0" w:color="auto"/>
        <w:left w:val="none" w:sz="0" w:space="0" w:color="auto"/>
        <w:bottom w:val="none" w:sz="0" w:space="0" w:color="auto"/>
        <w:right w:val="none" w:sz="0" w:space="0" w:color="auto"/>
      </w:divBdr>
    </w:div>
    <w:div w:id="452094136">
      <w:bodyDiv w:val="1"/>
      <w:marLeft w:val="0"/>
      <w:marRight w:val="0"/>
      <w:marTop w:val="0"/>
      <w:marBottom w:val="0"/>
      <w:divBdr>
        <w:top w:val="none" w:sz="0" w:space="0" w:color="auto"/>
        <w:left w:val="none" w:sz="0" w:space="0" w:color="auto"/>
        <w:bottom w:val="none" w:sz="0" w:space="0" w:color="auto"/>
        <w:right w:val="none" w:sz="0" w:space="0" w:color="auto"/>
      </w:divBdr>
    </w:div>
    <w:div w:id="502168856">
      <w:bodyDiv w:val="1"/>
      <w:marLeft w:val="0"/>
      <w:marRight w:val="0"/>
      <w:marTop w:val="0"/>
      <w:marBottom w:val="0"/>
      <w:divBdr>
        <w:top w:val="none" w:sz="0" w:space="0" w:color="auto"/>
        <w:left w:val="none" w:sz="0" w:space="0" w:color="auto"/>
        <w:bottom w:val="none" w:sz="0" w:space="0" w:color="auto"/>
        <w:right w:val="none" w:sz="0" w:space="0" w:color="auto"/>
      </w:divBdr>
    </w:div>
    <w:div w:id="512261556">
      <w:bodyDiv w:val="1"/>
      <w:marLeft w:val="0"/>
      <w:marRight w:val="0"/>
      <w:marTop w:val="0"/>
      <w:marBottom w:val="0"/>
      <w:divBdr>
        <w:top w:val="none" w:sz="0" w:space="0" w:color="auto"/>
        <w:left w:val="none" w:sz="0" w:space="0" w:color="auto"/>
        <w:bottom w:val="none" w:sz="0" w:space="0" w:color="auto"/>
        <w:right w:val="none" w:sz="0" w:space="0" w:color="auto"/>
      </w:divBdr>
    </w:div>
    <w:div w:id="522523328">
      <w:bodyDiv w:val="1"/>
      <w:marLeft w:val="0"/>
      <w:marRight w:val="0"/>
      <w:marTop w:val="0"/>
      <w:marBottom w:val="0"/>
      <w:divBdr>
        <w:top w:val="none" w:sz="0" w:space="0" w:color="auto"/>
        <w:left w:val="none" w:sz="0" w:space="0" w:color="auto"/>
        <w:bottom w:val="none" w:sz="0" w:space="0" w:color="auto"/>
        <w:right w:val="none" w:sz="0" w:space="0" w:color="auto"/>
      </w:divBdr>
    </w:div>
    <w:div w:id="764038798">
      <w:bodyDiv w:val="1"/>
      <w:marLeft w:val="0"/>
      <w:marRight w:val="0"/>
      <w:marTop w:val="0"/>
      <w:marBottom w:val="0"/>
      <w:divBdr>
        <w:top w:val="none" w:sz="0" w:space="0" w:color="auto"/>
        <w:left w:val="none" w:sz="0" w:space="0" w:color="auto"/>
        <w:bottom w:val="none" w:sz="0" w:space="0" w:color="auto"/>
        <w:right w:val="none" w:sz="0" w:space="0" w:color="auto"/>
      </w:divBdr>
    </w:div>
    <w:div w:id="859396159">
      <w:bodyDiv w:val="1"/>
      <w:marLeft w:val="0"/>
      <w:marRight w:val="0"/>
      <w:marTop w:val="0"/>
      <w:marBottom w:val="0"/>
      <w:divBdr>
        <w:top w:val="none" w:sz="0" w:space="0" w:color="auto"/>
        <w:left w:val="none" w:sz="0" w:space="0" w:color="auto"/>
        <w:bottom w:val="none" w:sz="0" w:space="0" w:color="auto"/>
        <w:right w:val="none" w:sz="0" w:space="0" w:color="auto"/>
      </w:divBdr>
    </w:div>
    <w:div w:id="1168787387">
      <w:bodyDiv w:val="1"/>
      <w:marLeft w:val="0"/>
      <w:marRight w:val="0"/>
      <w:marTop w:val="0"/>
      <w:marBottom w:val="0"/>
      <w:divBdr>
        <w:top w:val="none" w:sz="0" w:space="0" w:color="auto"/>
        <w:left w:val="none" w:sz="0" w:space="0" w:color="auto"/>
        <w:bottom w:val="none" w:sz="0" w:space="0" w:color="auto"/>
        <w:right w:val="none" w:sz="0" w:space="0" w:color="auto"/>
      </w:divBdr>
    </w:div>
    <w:div w:id="1180045749">
      <w:bodyDiv w:val="1"/>
      <w:marLeft w:val="0"/>
      <w:marRight w:val="0"/>
      <w:marTop w:val="0"/>
      <w:marBottom w:val="0"/>
      <w:divBdr>
        <w:top w:val="none" w:sz="0" w:space="0" w:color="auto"/>
        <w:left w:val="none" w:sz="0" w:space="0" w:color="auto"/>
        <w:bottom w:val="none" w:sz="0" w:space="0" w:color="auto"/>
        <w:right w:val="none" w:sz="0" w:space="0" w:color="auto"/>
      </w:divBdr>
    </w:div>
    <w:div w:id="1406221956">
      <w:bodyDiv w:val="1"/>
      <w:marLeft w:val="0"/>
      <w:marRight w:val="0"/>
      <w:marTop w:val="0"/>
      <w:marBottom w:val="0"/>
      <w:divBdr>
        <w:top w:val="none" w:sz="0" w:space="0" w:color="auto"/>
        <w:left w:val="none" w:sz="0" w:space="0" w:color="auto"/>
        <w:bottom w:val="none" w:sz="0" w:space="0" w:color="auto"/>
        <w:right w:val="none" w:sz="0" w:space="0" w:color="auto"/>
      </w:divBdr>
    </w:div>
    <w:div w:id="1476608911">
      <w:bodyDiv w:val="1"/>
      <w:marLeft w:val="0"/>
      <w:marRight w:val="0"/>
      <w:marTop w:val="0"/>
      <w:marBottom w:val="0"/>
      <w:divBdr>
        <w:top w:val="none" w:sz="0" w:space="0" w:color="auto"/>
        <w:left w:val="none" w:sz="0" w:space="0" w:color="auto"/>
        <w:bottom w:val="none" w:sz="0" w:space="0" w:color="auto"/>
        <w:right w:val="none" w:sz="0" w:space="0" w:color="auto"/>
      </w:divBdr>
    </w:div>
    <w:div w:id="1642071939">
      <w:bodyDiv w:val="1"/>
      <w:marLeft w:val="0"/>
      <w:marRight w:val="0"/>
      <w:marTop w:val="0"/>
      <w:marBottom w:val="0"/>
      <w:divBdr>
        <w:top w:val="none" w:sz="0" w:space="0" w:color="auto"/>
        <w:left w:val="none" w:sz="0" w:space="0" w:color="auto"/>
        <w:bottom w:val="none" w:sz="0" w:space="0" w:color="auto"/>
        <w:right w:val="none" w:sz="0" w:space="0" w:color="auto"/>
      </w:divBdr>
    </w:div>
    <w:div w:id="1741631004">
      <w:bodyDiv w:val="1"/>
      <w:marLeft w:val="0"/>
      <w:marRight w:val="0"/>
      <w:marTop w:val="0"/>
      <w:marBottom w:val="0"/>
      <w:divBdr>
        <w:top w:val="none" w:sz="0" w:space="0" w:color="auto"/>
        <w:left w:val="none" w:sz="0" w:space="0" w:color="auto"/>
        <w:bottom w:val="none" w:sz="0" w:space="0" w:color="auto"/>
        <w:right w:val="none" w:sz="0" w:space="0" w:color="auto"/>
      </w:divBdr>
    </w:div>
    <w:div w:id="1931114643">
      <w:bodyDiv w:val="1"/>
      <w:marLeft w:val="0"/>
      <w:marRight w:val="0"/>
      <w:marTop w:val="0"/>
      <w:marBottom w:val="0"/>
      <w:divBdr>
        <w:top w:val="none" w:sz="0" w:space="0" w:color="auto"/>
        <w:left w:val="none" w:sz="0" w:space="0" w:color="auto"/>
        <w:bottom w:val="none" w:sz="0" w:space="0" w:color="auto"/>
        <w:right w:val="none" w:sz="0" w:space="0" w:color="auto"/>
      </w:divBdr>
    </w:div>
    <w:div w:id="20238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DFA2A-FED0-4431-847F-0ADDB87D5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2115</Words>
  <Characters>11635</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Normativas y Metodologías del SEN – DINME  gnogales</dc:creator>
  <cp:lastModifiedBy>Laura Jimenez</cp:lastModifiedBy>
  <cp:revision>4</cp:revision>
  <cp:lastPrinted>2016-11-14T20:56:00Z</cp:lastPrinted>
  <dcterms:created xsi:type="dcterms:W3CDTF">2017-06-13T19:04:00Z</dcterms:created>
  <dcterms:modified xsi:type="dcterms:W3CDTF">2017-06-13T20:50:00Z</dcterms:modified>
</cp:coreProperties>
</file>