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20" w:type="pct"/>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2141"/>
        <w:gridCol w:w="1355"/>
        <w:gridCol w:w="1294"/>
        <w:gridCol w:w="2449"/>
        <w:gridCol w:w="2607"/>
      </w:tblGrid>
      <w:tr w:rsidR="00030D84" w:rsidRPr="00393E4A" w:rsidTr="004A0DC0">
        <w:trPr>
          <w:trHeight w:val="851"/>
          <w:tblCellSpacing w:w="20" w:type="dxa"/>
        </w:trPr>
        <w:tc>
          <w:tcPr>
            <w:tcW w:w="4959" w:type="pct"/>
            <w:gridSpan w:val="5"/>
            <w:shd w:val="clear" w:color="auto" w:fill="365F91"/>
            <w:noWrap/>
            <w:vAlign w:val="center"/>
            <w:hideMark/>
          </w:tcPr>
          <w:p w:rsidR="00030D84" w:rsidRPr="00393E4A" w:rsidRDefault="00030D84" w:rsidP="00004233">
            <w:pPr>
              <w:jc w:val="center"/>
              <w:rPr>
                <w:rFonts w:ascii="Arial" w:eastAsia="Times New Roman" w:hAnsi="Arial" w:cs="Arial"/>
                <w:b/>
                <w:bCs/>
                <w:color w:val="FFFFFF"/>
                <w:sz w:val="20"/>
                <w:szCs w:val="20"/>
              </w:rPr>
            </w:pPr>
            <w:bookmarkStart w:id="0" w:name="_GoBack"/>
            <w:bookmarkEnd w:id="0"/>
            <w:r w:rsidRPr="00393E4A">
              <w:rPr>
                <w:rFonts w:ascii="Arial" w:eastAsia="Times New Roman" w:hAnsi="Arial" w:cs="Arial"/>
                <w:b/>
                <w:bCs/>
                <w:color w:val="FFFFFF"/>
                <w:sz w:val="20"/>
                <w:szCs w:val="20"/>
              </w:rPr>
              <w:t>FICHA METODOLÓGICA</w:t>
            </w:r>
            <w:r w:rsidR="000355E8" w:rsidRPr="00393E4A">
              <w:rPr>
                <w:rFonts w:ascii="Arial" w:eastAsia="Times New Roman" w:hAnsi="Arial" w:cs="Arial"/>
                <w:b/>
                <w:bCs/>
                <w:color w:val="FFFFFF"/>
                <w:sz w:val="20"/>
                <w:szCs w:val="20"/>
              </w:rPr>
              <w:t>-INDICADORES ODS</w:t>
            </w:r>
          </w:p>
        </w:tc>
      </w:tr>
      <w:tr w:rsidR="00030D84" w:rsidRPr="00393E4A" w:rsidTr="00F275A8">
        <w:trPr>
          <w:trHeight w:val="754"/>
          <w:tblCellSpacing w:w="20" w:type="dxa"/>
        </w:trPr>
        <w:tc>
          <w:tcPr>
            <w:tcW w:w="1740" w:type="pct"/>
            <w:gridSpan w:val="2"/>
            <w:shd w:val="clear" w:color="auto" w:fill="C6D9F1"/>
            <w:vAlign w:val="center"/>
            <w:hideMark/>
          </w:tcPr>
          <w:p w:rsidR="00030D84" w:rsidRPr="00393E4A" w:rsidRDefault="00030D84" w:rsidP="00004233">
            <w:pPr>
              <w:rPr>
                <w:rFonts w:ascii="Arial" w:eastAsia="Times New Roman" w:hAnsi="Arial" w:cs="Arial"/>
                <w:b/>
                <w:bCs/>
                <w:sz w:val="20"/>
                <w:szCs w:val="20"/>
              </w:rPr>
            </w:pPr>
            <w:r w:rsidRPr="00393E4A">
              <w:rPr>
                <w:rFonts w:ascii="Arial" w:eastAsia="Times New Roman" w:hAnsi="Arial" w:cs="Arial"/>
                <w:b/>
                <w:bCs/>
                <w:sz w:val="20"/>
                <w:szCs w:val="20"/>
              </w:rPr>
              <w:t>NOMBRE DEL INDICADOR</w:t>
            </w:r>
          </w:p>
        </w:tc>
        <w:tc>
          <w:tcPr>
            <w:tcW w:w="3199" w:type="pct"/>
            <w:gridSpan w:val="3"/>
            <w:shd w:val="clear" w:color="auto" w:fill="auto"/>
            <w:vAlign w:val="center"/>
            <w:hideMark/>
          </w:tcPr>
          <w:p w:rsidR="00D957E5" w:rsidRPr="00393E4A" w:rsidRDefault="00D957E5" w:rsidP="00F275A8">
            <w:pPr>
              <w:spacing w:after="0" w:line="240" w:lineRule="auto"/>
              <w:jc w:val="both"/>
              <w:rPr>
                <w:rFonts w:ascii="Arial" w:eastAsia="Times New Roman" w:hAnsi="Arial" w:cs="Arial"/>
                <w:b/>
                <w:color w:val="000000"/>
                <w:sz w:val="20"/>
                <w:szCs w:val="20"/>
              </w:rPr>
            </w:pPr>
            <w:r w:rsidRPr="00393E4A">
              <w:rPr>
                <w:rFonts w:ascii="Arial" w:eastAsia="Times New Roman" w:hAnsi="Arial" w:cs="Arial"/>
                <w:b/>
                <w:color w:val="000000"/>
                <w:sz w:val="20"/>
                <w:szCs w:val="20"/>
              </w:rPr>
              <w:t>Indicadores de Solidez Financiera</w:t>
            </w:r>
          </w:p>
          <w:p w:rsidR="00FF4473" w:rsidRPr="00624A8A" w:rsidRDefault="00FF4473" w:rsidP="00F275A8">
            <w:pPr>
              <w:spacing w:after="0" w:line="240" w:lineRule="auto"/>
              <w:jc w:val="both"/>
              <w:rPr>
                <w:rFonts w:ascii="Arial" w:eastAsia="Times New Roman" w:hAnsi="Arial" w:cs="Arial"/>
                <w:b/>
                <w:i/>
                <w:color w:val="000000"/>
                <w:sz w:val="20"/>
                <w:szCs w:val="20"/>
              </w:rPr>
            </w:pPr>
          </w:p>
          <w:p w:rsidR="00030D84" w:rsidRPr="00393E4A" w:rsidRDefault="00D957E5" w:rsidP="00F275A8">
            <w:pPr>
              <w:spacing w:after="0" w:line="240" w:lineRule="auto"/>
              <w:jc w:val="both"/>
              <w:rPr>
                <w:rFonts w:ascii="Arial" w:eastAsia="Times New Roman" w:hAnsi="Arial" w:cs="Arial"/>
                <w:b/>
                <w:color w:val="000000"/>
                <w:sz w:val="20"/>
                <w:szCs w:val="20"/>
              </w:rPr>
            </w:pPr>
            <w:r w:rsidRPr="00624A8A">
              <w:rPr>
                <w:rFonts w:ascii="Arial" w:eastAsia="Times New Roman" w:hAnsi="Arial" w:cs="Arial"/>
                <w:b/>
                <w:i/>
                <w:color w:val="000000"/>
                <w:sz w:val="20"/>
                <w:szCs w:val="20"/>
              </w:rPr>
              <w:t>2. Rendimiento Patrimonio Neto</w:t>
            </w:r>
          </w:p>
        </w:tc>
      </w:tr>
      <w:tr w:rsidR="00030D84" w:rsidRPr="00393E4A" w:rsidTr="00FF4473">
        <w:trPr>
          <w:trHeight w:val="1346"/>
          <w:tblCellSpacing w:w="20" w:type="dxa"/>
        </w:trPr>
        <w:tc>
          <w:tcPr>
            <w:tcW w:w="1740" w:type="pct"/>
            <w:gridSpan w:val="2"/>
            <w:shd w:val="clear" w:color="auto" w:fill="C6D9F1"/>
            <w:vAlign w:val="center"/>
            <w:hideMark/>
          </w:tcPr>
          <w:p w:rsidR="00030D84" w:rsidRPr="00393E4A" w:rsidRDefault="00030D84" w:rsidP="000355E8">
            <w:pPr>
              <w:rPr>
                <w:rFonts w:ascii="Arial" w:eastAsia="Times New Roman" w:hAnsi="Arial" w:cs="Arial"/>
                <w:b/>
                <w:bCs/>
                <w:sz w:val="20"/>
                <w:szCs w:val="20"/>
              </w:rPr>
            </w:pPr>
            <w:r w:rsidRPr="00393E4A">
              <w:rPr>
                <w:rFonts w:ascii="Arial" w:eastAsia="Times New Roman" w:hAnsi="Arial" w:cs="Arial"/>
                <w:b/>
                <w:bCs/>
                <w:sz w:val="20"/>
                <w:szCs w:val="20"/>
              </w:rPr>
              <w:t>DEFINICIÓN</w:t>
            </w:r>
          </w:p>
        </w:tc>
        <w:tc>
          <w:tcPr>
            <w:tcW w:w="3199" w:type="pct"/>
            <w:gridSpan w:val="3"/>
            <w:shd w:val="clear" w:color="auto" w:fill="auto"/>
            <w:vAlign w:val="center"/>
            <w:hideMark/>
          </w:tcPr>
          <w:p w:rsidR="00030D84" w:rsidRPr="00393E4A" w:rsidRDefault="001B53D0" w:rsidP="000355E8">
            <w:pPr>
              <w:autoSpaceDE w:val="0"/>
              <w:autoSpaceDN w:val="0"/>
              <w:adjustRightInd w:val="0"/>
              <w:spacing w:after="0"/>
              <w:jc w:val="both"/>
              <w:rPr>
                <w:rFonts w:ascii="Arial" w:hAnsi="Arial" w:cs="Arial"/>
                <w:sz w:val="20"/>
                <w:szCs w:val="20"/>
              </w:rPr>
            </w:pPr>
            <w:r w:rsidRPr="00393E4A">
              <w:rPr>
                <w:rFonts w:ascii="Arial" w:hAnsi="Arial" w:cs="Arial"/>
                <w:sz w:val="20"/>
                <w:szCs w:val="20"/>
              </w:rPr>
              <w:t>Rendimiento del Activo antes de</w:t>
            </w:r>
            <w:r w:rsidR="00C82F32" w:rsidRPr="00393E4A">
              <w:rPr>
                <w:rFonts w:ascii="Arial" w:hAnsi="Arial" w:cs="Arial"/>
                <w:sz w:val="20"/>
                <w:szCs w:val="20"/>
              </w:rPr>
              <w:t xml:space="preserve"> ingresos</w:t>
            </w:r>
            <w:r w:rsidRPr="00393E4A">
              <w:rPr>
                <w:rFonts w:ascii="Arial" w:hAnsi="Arial" w:cs="Arial"/>
                <w:sz w:val="20"/>
                <w:szCs w:val="20"/>
              </w:rPr>
              <w:t xml:space="preserve"> </w:t>
            </w:r>
            <w:r w:rsidR="00E56BBF" w:rsidRPr="00393E4A">
              <w:rPr>
                <w:rFonts w:ascii="Arial" w:hAnsi="Arial" w:cs="Arial"/>
                <w:sz w:val="20"/>
                <w:szCs w:val="20"/>
              </w:rPr>
              <w:t>extraordinarios</w:t>
            </w:r>
            <w:r w:rsidRPr="00393E4A">
              <w:rPr>
                <w:rFonts w:ascii="Arial" w:hAnsi="Arial" w:cs="Arial"/>
                <w:sz w:val="20"/>
                <w:szCs w:val="20"/>
              </w:rPr>
              <w:t xml:space="preserve"> e impuestos</w:t>
            </w:r>
            <w:r w:rsidR="00C82F32" w:rsidRPr="00393E4A">
              <w:rPr>
                <w:rFonts w:ascii="Arial" w:hAnsi="Arial" w:cs="Arial"/>
                <w:sz w:val="20"/>
                <w:szCs w:val="20"/>
              </w:rPr>
              <w:t>.</w:t>
            </w:r>
          </w:p>
          <w:p w:rsidR="00C82F32" w:rsidRPr="00393E4A" w:rsidRDefault="00C82F32" w:rsidP="000355E8">
            <w:pPr>
              <w:autoSpaceDE w:val="0"/>
              <w:autoSpaceDN w:val="0"/>
              <w:adjustRightInd w:val="0"/>
              <w:spacing w:after="0"/>
              <w:jc w:val="both"/>
              <w:rPr>
                <w:rFonts w:ascii="Arial" w:hAnsi="Arial" w:cs="Arial"/>
                <w:sz w:val="20"/>
                <w:szCs w:val="20"/>
              </w:rPr>
            </w:pPr>
            <w:r w:rsidRPr="00393E4A">
              <w:rPr>
                <w:rFonts w:ascii="Arial" w:hAnsi="Arial" w:cs="Arial"/>
                <w:sz w:val="20"/>
                <w:szCs w:val="20"/>
              </w:rPr>
              <w:t>“</w:t>
            </w:r>
            <w:r w:rsidR="00966966" w:rsidRPr="00393E4A">
              <w:rPr>
                <w:rFonts w:ascii="Arial" w:hAnsi="Arial" w:cs="Arial"/>
                <w:sz w:val="20"/>
                <w:szCs w:val="20"/>
              </w:rPr>
              <w:t>…</w:t>
            </w:r>
            <w:r w:rsidRPr="00393E4A">
              <w:rPr>
                <w:rFonts w:ascii="Arial" w:hAnsi="Arial" w:cs="Arial"/>
                <w:i/>
                <w:sz w:val="20"/>
                <w:szCs w:val="20"/>
              </w:rPr>
              <w:t>medida en que los recursos de capital disponibles se aprovechan para fines rentables</w:t>
            </w:r>
            <w:r w:rsidR="00BD5B98" w:rsidRPr="00393E4A">
              <w:rPr>
                <w:rFonts w:ascii="Arial" w:hAnsi="Arial" w:cs="Arial"/>
                <w:i/>
                <w:sz w:val="20"/>
                <w:szCs w:val="20"/>
              </w:rPr>
              <w:t>.</w:t>
            </w:r>
            <w:r w:rsidRPr="00393E4A">
              <w:rPr>
                <w:rFonts w:ascii="Arial" w:hAnsi="Arial" w:cs="Arial"/>
                <w:sz w:val="20"/>
                <w:szCs w:val="20"/>
              </w:rPr>
              <w:t>”</w:t>
            </w:r>
            <w:r w:rsidR="00460B9B" w:rsidRPr="00393E4A">
              <w:rPr>
                <w:rStyle w:val="Refdenotaalpie"/>
                <w:rFonts w:ascii="Arial" w:hAnsi="Arial" w:cs="Arial"/>
                <w:sz w:val="20"/>
                <w:szCs w:val="20"/>
              </w:rPr>
              <w:footnoteReference w:id="1"/>
            </w:r>
          </w:p>
        </w:tc>
      </w:tr>
      <w:tr w:rsidR="00030D84" w:rsidRPr="00393E4A" w:rsidTr="004A0DC0">
        <w:trPr>
          <w:trHeight w:val="513"/>
          <w:tblCellSpacing w:w="20" w:type="dxa"/>
        </w:trPr>
        <w:tc>
          <w:tcPr>
            <w:tcW w:w="4959" w:type="pct"/>
            <w:gridSpan w:val="5"/>
            <w:shd w:val="clear" w:color="auto" w:fill="C6D9F1"/>
            <w:vAlign w:val="center"/>
            <w:hideMark/>
          </w:tcPr>
          <w:p w:rsidR="00030D84" w:rsidRPr="00393E4A" w:rsidRDefault="00C022E1" w:rsidP="000355E8">
            <w:pPr>
              <w:jc w:val="center"/>
              <w:rPr>
                <w:rFonts w:ascii="Arial" w:eastAsia="Times New Roman" w:hAnsi="Arial" w:cs="Arial"/>
                <w:b/>
                <w:bCs/>
                <w:sz w:val="20"/>
                <w:szCs w:val="20"/>
              </w:rPr>
            </w:pPr>
            <w:r w:rsidRPr="00393E4A">
              <w:rPr>
                <w:rFonts w:ascii="Arial" w:eastAsia="Times New Roman" w:hAnsi="Arial" w:cs="Arial"/>
                <w:b/>
                <w:bCs/>
                <w:sz w:val="20"/>
                <w:szCs w:val="20"/>
              </w:rPr>
              <w:t>FÓRMULA DE CÁ</w:t>
            </w:r>
            <w:r w:rsidR="00030D84" w:rsidRPr="00393E4A">
              <w:rPr>
                <w:rFonts w:ascii="Arial" w:eastAsia="Times New Roman" w:hAnsi="Arial" w:cs="Arial"/>
                <w:b/>
                <w:bCs/>
                <w:sz w:val="20"/>
                <w:szCs w:val="20"/>
              </w:rPr>
              <w:t>LCULO</w:t>
            </w:r>
          </w:p>
        </w:tc>
      </w:tr>
      <w:tr w:rsidR="004E7BA5" w:rsidRPr="00393E4A" w:rsidTr="004A0DC0">
        <w:trPr>
          <w:trHeight w:val="513"/>
          <w:tblCellSpacing w:w="20" w:type="dxa"/>
        </w:trPr>
        <w:tc>
          <w:tcPr>
            <w:tcW w:w="4959" w:type="pct"/>
            <w:gridSpan w:val="5"/>
            <w:shd w:val="clear" w:color="auto" w:fill="auto"/>
          </w:tcPr>
          <w:p w:rsidR="004E7BA5" w:rsidRPr="00393E4A" w:rsidRDefault="001B53D0" w:rsidP="000355E8">
            <w:pPr>
              <w:autoSpaceDE w:val="0"/>
              <w:autoSpaceDN w:val="0"/>
              <w:adjustRightInd w:val="0"/>
              <w:spacing w:after="0"/>
              <w:jc w:val="center"/>
              <w:rPr>
                <w:rFonts w:ascii="Arial" w:eastAsia="Times New Roman" w:hAnsi="Arial" w:cs="Arial"/>
                <w:b/>
                <w:bCs/>
                <w:sz w:val="20"/>
                <w:szCs w:val="20"/>
              </w:rPr>
            </w:pPr>
            <w:r w:rsidRPr="00393E4A">
              <w:rPr>
                <w:rFonts w:ascii="Arial" w:hAnsi="Arial" w:cs="Arial"/>
                <w:sz w:val="20"/>
                <w:szCs w:val="20"/>
              </w:rPr>
              <w:t xml:space="preserve">Rendimiento del patrimonio neto </w:t>
            </w:r>
            <w:r w:rsidR="00FB7468" w:rsidRPr="00393E4A">
              <w:rPr>
                <w:rFonts w:ascii="Arial" w:hAnsi="Arial" w:cs="Arial"/>
                <w:sz w:val="20"/>
                <w:szCs w:val="20"/>
              </w:rPr>
              <w:t>= (Ingreso neto/C</w:t>
            </w:r>
            <w:r w:rsidRPr="00393E4A">
              <w:rPr>
                <w:rFonts w:ascii="Arial" w:hAnsi="Arial" w:cs="Arial"/>
                <w:sz w:val="20"/>
                <w:szCs w:val="20"/>
              </w:rPr>
              <w:t>apital medio [patrimonio neto]) (básico) (IF007)</w:t>
            </w:r>
          </w:p>
        </w:tc>
      </w:tr>
      <w:tr w:rsidR="004E7BA5" w:rsidRPr="00393E4A" w:rsidTr="004A0DC0">
        <w:trPr>
          <w:trHeight w:val="513"/>
          <w:tblCellSpacing w:w="20" w:type="dxa"/>
        </w:trPr>
        <w:tc>
          <w:tcPr>
            <w:tcW w:w="4959" w:type="pct"/>
            <w:gridSpan w:val="5"/>
            <w:shd w:val="clear" w:color="auto" w:fill="C6D9F1"/>
            <w:vAlign w:val="center"/>
            <w:hideMark/>
          </w:tcPr>
          <w:p w:rsidR="004E7BA5" w:rsidRPr="00393E4A" w:rsidRDefault="004E7BA5" w:rsidP="000355E8">
            <w:pPr>
              <w:jc w:val="center"/>
              <w:rPr>
                <w:rFonts w:ascii="Arial" w:eastAsia="Times New Roman" w:hAnsi="Arial" w:cs="Arial"/>
                <w:b/>
                <w:bCs/>
                <w:sz w:val="20"/>
                <w:szCs w:val="20"/>
              </w:rPr>
            </w:pPr>
            <w:r w:rsidRPr="00393E4A">
              <w:rPr>
                <w:rFonts w:ascii="Arial" w:eastAsia="Times New Roman" w:hAnsi="Arial" w:cs="Arial"/>
                <w:b/>
                <w:bCs/>
                <w:sz w:val="20"/>
                <w:szCs w:val="20"/>
              </w:rPr>
              <w:t>DEFINICIÓN DE LAS VARIABLES RELACIONADAS</w:t>
            </w:r>
          </w:p>
        </w:tc>
      </w:tr>
      <w:tr w:rsidR="004E7BA5" w:rsidRPr="00393E4A" w:rsidTr="00F275A8">
        <w:trPr>
          <w:trHeight w:val="3339"/>
          <w:tblCellSpacing w:w="20" w:type="dxa"/>
        </w:trPr>
        <w:tc>
          <w:tcPr>
            <w:tcW w:w="4959" w:type="pct"/>
            <w:gridSpan w:val="5"/>
            <w:shd w:val="clear" w:color="auto" w:fill="auto"/>
          </w:tcPr>
          <w:p w:rsidR="00B174D2" w:rsidRPr="00393E4A" w:rsidRDefault="00E56BBF" w:rsidP="000355E8">
            <w:pPr>
              <w:pStyle w:val="Prrafodelista"/>
              <w:numPr>
                <w:ilvl w:val="0"/>
                <w:numId w:val="35"/>
              </w:numPr>
              <w:autoSpaceDE w:val="0"/>
              <w:autoSpaceDN w:val="0"/>
              <w:adjustRightInd w:val="0"/>
              <w:spacing w:after="0"/>
              <w:jc w:val="both"/>
              <w:rPr>
                <w:rFonts w:ascii="Arial" w:eastAsia="Times New Roman" w:hAnsi="Arial" w:cs="Arial"/>
                <w:sz w:val="20"/>
                <w:szCs w:val="20"/>
              </w:rPr>
            </w:pPr>
            <w:r w:rsidRPr="00393E4A">
              <w:rPr>
                <w:rFonts w:ascii="Arial" w:hAnsi="Arial" w:cs="Arial"/>
                <w:sz w:val="20"/>
                <w:szCs w:val="20"/>
              </w:rPr>
              <w:t>I</w:t>
            </w:r>
            <w:r w:rsidRPr="00393E4A">
              <w:rPr>
                <w:rFonts w:ascii="Arial" w:hAnsi="Arial" w:cs="Arial"/>
                <w:b/>
                <w:sz w:val="20"/>
                <w:szCs w:val="20"/>
              </w:rPr>
              <w:t>ngreso neto.-</w:t>
            </w:r>
            <w:r w:rsidRPr="00393E4A">
              <w:rPr>
                <w:rFonts w:ascii="Arial" w:hAnsi="Arial" w:cs="Arial"/>
                <w:sz w:val="20"/>
                <w:szCs w:val="20"/>
              </w:rPr>
              <w:t xml:space="preserve"> Conforme la metodología de los Indicadores de Solidez Financiera, que consta en la Guía de Compilación de los Indicadores de Solidez Financiera </w:t>
            </w:r>
            <w:r w:rsidRPr="00393E4A">
              <w:rPr>
                <w:rFonts w:ascii="Arial" w:hAnsi="Arial" w:cs="Arial"/>
                <w:b/>
                <w:sz w:val="20"/>
                <w:szCs w:val="20"/>
              </w:rPr>
              <w:t xml:space="preserve"> </w:t>
            </w:r>
            <w:r w:rsidRPr="00393E4A">
              <w:rPr>
                <w:rFonts w:ascii="Arial" w:hAnsi="Arial" w:cs="Arial"/>
                <w:sz w:val="20"/>
                <w:szCs w:val="20"/>
              </w:rPr>
              <w:t>es igual al ingreso bruto menos gastos brutos antes de partidas extraordinarias e impuestos</w:t>
            </w:r>
            <w:r w:rsidRPr="00393E4A">
              <w:rPr>
                <w:rStyle w:val="Refdenotaalpie"/>
                <w:rFonts w:ascii="Arial" w:hAnsi="Arial" w:cs="Arial"/>
                <w:sz w:val="20"/>
                <w:szCs w:val="20"/>
              </w:rPr>
              <w:footnoteReference w:id="2"/>
            </w:r>
            <w:r w:rsidR="00FB7468" w:rsidRPr="00393E4A">
              <w:rPr>
                <w:rFonts w:ascii="Arial" w:hAnsi="Arial" w:cs="Arial"/>
                <w:sz w:val="20"/>
                <w:szCs w:val="20"/>
              </w:rPr>
              <w:t>.</w:t>
            </w:r>
            <w:r w:rsidRPr="00393E4A">
              <w:rPr>
                <w:rFonts w:ascii="Arial" w:eastAsia="Times New Roman" w:hAnsi="Arial" w:cs="Arial"/>
                <w:b/>
                <w:sz w:val="20"/>
                <w:szCs w:val="20"/>
              </w:rPr>
              <w:t xml:space="preserve"> </w:t>
            </w:r>
            <w:r w:rsidR="00FB7468" w:rsidRPr="00393E4A">
              <w:rPr>
                <w:rFonts w:ascii="Arial" w:eastAsia="Times New Roman" w:hAnsi="Arial" w:cs="Arial"/>
                <w:sz w:val="20"/>
                <w:szCs w:val="20"/>
              </w:rPr>
              <w:t>E</w:t>
            </w:r>
            <w:r w:rsidRPr="00393E4A">
              <w:rPr>
                <w:rFonts w:ascii="Arial" w:eastAsia="Times New Roman" w:hAnsi="Arial" w:cs="Arial"/>
                <w:sz w:val="20"/>
                <w:szCs w:val="20"/>
              </w:rPr>
              <w:t>n el caso del Ecuador</w:t>
            </w:r>
            <w:r w:rsidR="00FB7468" w:rsidRPr="00393E4A">
              <w:rPr>
                <w:rFonts w:ascii="Arial" w:eastAsia="Times New Roman" w:hAnsi="Arial" w:cs="Arial"/>
                <w:sz w:val="20"/>
                <w:szCs w:val="20"/>
              </w:rPr>
              <w:t>,</w:t>
            </w:r>
            <w:r w:rsidRPr="00393E4A">
              <w:rPr>
                <w:rFonts w:ascii="Arial" w:eastAsia="Times New Roman" w:hAnsi="Arial" w:cs="Arial"/>
                <w:sz w:val="20"/>
                <w:szCs w:val="20"/>
              </w:rPr>
              <w:t xml:space="preserve"> equivale a</w:t>
            </w:r>
            <w:r w:rsidR="006C711A" w:rsidRPr="00393E4A">
              <w:rPr>
                <w:rFonts w:ascii="Arial" w:eastAsia="Times New Roman" w:hAnsi="Arial" w:cs="Arial"/>
                <w:sz w:val="20"/>
                <w:szCs w:val="20"/>
              </w:rPr>
              <w:t xml:space="preserve"> </w:t>
            </w:r>
            <w:r w:rsidRPr="00393E4A">
              <w:rPr>
                <w:rFonts w:ascii="Arial" w:eastAsia="Times New Roman" w:hAnsi="Arial" w:cs="Arial"/>
                <w:sz w:val="20"/>
                <w:szCs w:val="20"/>
              </w:rPr>
              <w:t>l</w:t>
            </w:r>
            <w:r w:rsidR="006C711A" w:rsidRPr="00393E4A">
              <w:rPr>
                <w:rFonts w:ascii="Arial" w:eastAsia="Times New Roman" w:hAnsi="Arial" w:cs="Arial"/>
                <w:sz w:val="20"/>
                <w:szCs w:val="20"/>
              </w:rPr>
              <w:t xml:space="preserve">os Resultados del Ejercicio antes </w:t>
            </w:r>
            <w:r w:rsidR="00FB7468" w:rsidRPr="00393E4A">
              <w:rPr>
                <w:rFonts w:ascii="Arial" w:eastAsia="Times New Roman" w:hAnsi="Arial" w:cs="Arial"/>
                <w:sz w:val="20"/>
                <w:szCs w:val="20"/>
              </w:rPr>
              <w:t>de</w:t>
            </w:r>
            <w:r w:rsidRPr="00393E4A">
              <w:rPr>
                <w:rFonts w:ascii="Arial" w:eastAsia="Times New Roman" w:hAnsi="Arial" w:cs="Arial"/>
                <w:sz w:val="20"/>
                <w:szCs w:val="20"/>
              </w:rPr>
              <w:t xml:space="preserve"> ingresos y gastos extraordinario</w:t>
            </w:r>
            <w:r w:rsidR="006C711A" w:rsidRPr="00393E4A">
              <w:rPr>
                <w:rFonts w:ascii="Arial" w:eastAsia="Times New Roman" w:hAnsi="Arial" w:cs="Arial"/>
                <w:sz w:val="20"/>
                <w:szCs w:val="20"/>
              </w:rPr>
              <w:t>s e impuestos y participaciones</w:t>
            </w:r>
            <w:r w:rsidR="00FB7468" w:rsidRPr="00393E4A">
              <w:rPr>
                <w:rFonts w:ascii="Arial" w:eastAsia="Times New Roman" w:hAnsi="Arial" w:cs="Arial"/>
                <w:sz w:val="20"/>
                <w:szCs w:val="20"/>
              </w:rPr>
              <w:t>, es decir, e</w:t>
            </w:r>
            <w:r w:rsidR="006C711A" w:rsidRPr="00393E4A">
              <w:rPr>
                <w:rFonts w:ascii="Arial" w:eastAsia="Times New Roman" w:hAnsi="Arial" w:cs="Arial"/>
                <w:sz w:val="20"/>
                <w:szCs w:val="20"/>
              </w:rPr>
              <w:t>l Margen Operacional del Estado de Pérdidas y ganancias</w:t>
            </w:r>
            <w:r w:rsidR="00A73EAC" w:rsidRPr="00393E4A">
              <w:rPr>
                <w:rFonts w:ascii="Arial" w:eastAsia="Times New Roman" w:hAnsi="Arial" w:cs="Arial"/>
                <w:sz w:val="20"/>
                <w:szCs w:val="20"/>
              </w:rPr>
              <w:t>.</w:t>
            </w:r>
          </w:p>
          <w:p w:rsidR="000355E8" w:rsidRPr="00393E4A" w:rsidRDefault="000355E8" w:rsidP="000355E8">
            <w:pPr>
              <w:pStyle w:val="Prrafodelista"/>
              <w:autoSpaceDE w:val="0"/>
              <w:autoSpaceDN w:val="0"/>
              <w:adjustRightInd w:val="0"/>
              <w:spacing w:after="0"/>
              <w:ind w:left="360"/>
              <w:jc w:val="both"/>
              <w:rPr>
                <w:rFonts w:ascii="Arial" w:eastAsia="Times New Roman" w:hAnsi="Arial" w:cs="Arial"/>
                <w:sz w:val="20"/>
                <w:szCs w:val="20"/>
              </w:rPr>
            </w:pPr>
          </w:p>
          <w:p w:rsidR="001A5380" w:rsidRPr="00393E4A" w:rsidRDefault="00532D78" w:rsidP="000355E8">
            <w:pPr>
              <w:pStyle w:val="Prrafodelista"/>
              <w:numPr>
                <w:ilvl w:val="0"/>
                <w:numId w:val="35"/>
              </w:numPr>
              <w:jc w:val="both"/>
              <w:rPr>
                <w:rFonts w:ascii="Arial" w:eastAsia="Times New Roman" w:hAnsi="Arial" w:cs="Arial"/>
                <w:sz w:val="20"/>
                <w:szCs w:val="20"/>
              </w:rPr>
            </w:pPr>
            <w:r w:rsidRPr="00393E4A">
              <w:rPr>
                <w:rFonts w:ascii="Arial" w:eastAsia="Times New Roman" w:hAnsi="Arial" w:cs="Arial"/>
                <w:b/>
                <w:sz w:val="20"/>
                <w:szCs w:val="20"/>
              </w:rPr>
              <w:t xml:space="preserve">Capital Medio </w:t>
            </w:r>
            <w:r w:rsidR="00751E52" w:rsidRPr="00393E4A">
              <w:rPr>
                <w:rFonts w:ascii="Arial" w:eastAsia="Times New Roman" w:hAnsi="Arial" w:cs="Arial"/>
                <w:b/>
                <w:sz w:val="20"/>
                <w:szCs w:val="20"/>
              </w:rPr>
              <w:t>[</w:t>
            </w:r>
            <w:r w:rsidRPr="00393E4A">
              <w:rPr>
                <w:rFonts w:ascii="Arial" w:eastAsia="Times New Roman" w:hAnsi="Arial" w:cs="Arial"/>
                <w:b/>
                <w:sz w:val="20"/>
                <w:szCs w:val="20"/>
              </w:rPr>
              <w:t>Patrimonio Neto</w:t>
            </w:r>
            <w:r w:rsidR="00751E52" w:rsidRPr="00393E4A">
              <w:rPr>
                <w:rFonts w:ascii="Arial" w:eastAsia="Times New Roman" w:hAnsi="Arial" w:cs="Arial"/>
                <w:b/>
                <w:sz w:val="20"/>
                <w:szCs w:val="20"/>
              </w:rPr>
              <w:t>]</w:t>
            </w:r>
            <w:r w:rsidRPr="00393E4A">
              <w:rPr>
                <w:rFonts w:ascii="Arial" w:eastAsia="Times New Roman" w:hAnsi="Arial" w:cs="Arial"/>
                <w:b/>
                <w:sz w:val="20"/>
                <w:szCs w:val="20"/>
              </w:rPr>
              <w:t xml:space="preserve">.- </w:t>
            </w:r>
            <w:r w:rsidRPr="00393E4A">
              <w:rPr>
                <w:rFonts w:ascii="Arial" w:eastAsia="Times New Roman" w:hAnsi="Arial" w:cs="Arial"/>
                <w:sz w:val="20"/>
                <w:szCs w:val="20"/>
              </w:rPr>
              <w:t>para el reporte de los I</w:t>
            </w:r>
            <w:r w:rsidR="00FB7468" w:rsidRPr="00393E4A">
              <w:rPr>
                <w:rFonts w:ascii="Arial" w:eastAsia="Times New Roman" w:hAnsi="Arial" w:cs="Arial"/>
                <w:sz w:val="20"/>
                <w:szCs w:val="20"/>
              </w:rPr>
              <w:t xml:space="preserve">ndicadores de </w:t>
            </w:r>
            <w:r w:rsidRPr="00393E4A">
              <w:rPr>
                <w:rFonts w:ascii="Arial" w:eastAsia="Times New Roman" w:hAnsi="Arial" w:cs="Arial"/>
                <w:sz w:val="20"/>
                <w:szCs w:val="20"/>
              </w:rPr>
              <w:t>S</w:t>
            </w:r>
            <w:r w:rsidR="00FB7468" w:rsidRPr="00393E4A">
              <w:rPr>
                <w:rFonts w:ascii="Arial" w:eastAsia="Times New Roman" w:hAnsi="Arial" w:cs="Arial"/>
                <w:sz w:val="20"/>
                <w:szCs w:val="20"/>
              </w:rPr>
              <w:t xml:space="preserve">olidez </w:t>
            </w:r>
            <w:r w:rsidRPr="00393E4A">
              <w:rPr>
                <w:rFonts w:ascii="Arial" w:eastAsia="Times New Roman" w:hAnsi="Arial" w:cs="Arial"/>
                <w:sz w:val="20"/>
                <w:szCs w:val="20"/>
              </w:rPr>
              <w:t>F</w:t>
            </w:r>
            <w:r w:rsidR="00FB7468" w:rsidRPr="00393E4A">
              <w:rPr>
                <w:rFonts w:ascii="Arial" w:eastAsia="Times New Roman" w:hAnsi="Arial" w:cs="Arial"/>
                <w:sz w:val="20"/>
                <w:szCs w:val="20"/>
              </w:rPr>
              <w:t>inanciera</w:t>
            </w:r>
            <w:r w:rsidRPr="00393E4A">
              <w:rPr>
                <w:rFonts w:ascii="Arial" w:eastAsia="Times New Roman" w:hAnsi="Arial" w:cs="Arial"/>
                <w:sz w:val="20"/>
                <w:szCs w:val="20"/>
              </w:rPr>
              <w:t xml:space="preserve"> se aplica el concept</w:t>
            </w:r>
            <w:r w:rsidR="001A5380" w:rsidRPr="00393E4A">
              <w:rPr>
                <w:rFonts w:ascii="Arial" w:eastAsia="Times New Roman" w:hAnsi="Arial" w:cs="Arial"/>
                <w:sz w:val="20"/>
                <w:szCs w:val="20"/>
              </w:rPr>
              <w:t>o</w:t>
            </w:r>
            <w:r w:rsidRPr="00393E4A">
              <w:rPr>
                <w:rFonts w:ascii="Arial" w:eastAsia="Times New Roman" w:hAnsi="Arial" w:cs="Arial"/>
                <w:sz w:val="20"/>
                <w:szCs w:val="20"/>
              </w:rPr>
              <w:t xml:space="preserve"> del </w:t>
            </w:r>
            <w:r w:rsidR="00B174D2" w:rsidRPr="00393E4A">
              <w:rPr>
                <w:rFonts w:ascii="Arial" w:eastAsia="Times New Roman" w:hAnsi="Arial" w:cs="Arial"/>
                <w:sz w:val="20"/>
                <w:szCs w:val="20"/>
              </w:rPr>
              <w:t>Patrimonio más</w:t>
            </w:r>
            <w:r w:rsidRPr="00393E4A">
              <w:rPr>
                <w:rFonts w:ascii="Arial" w:eastAsia="Times New Roman" w:hAnsi="Arial" w:cs="Arial"/>
                <w:sz w:val="20"/>
                <w:szCs w:val="20"/>
              </w:rPr>
              <w:t xml:space="preserve"> Resultados.</w:t>
            </w:r>
          </w:p>
          <w:p w:rsidR="00532D78" w:rsidRPr="00393E4A" w:rsidRDefault="001A5380" w:rsidP="000355E8">
            <w:pPr>
              <w:jc w:val="both"/>
              <w:rPr>
                <w:rFonts w:ascii="Arial" w:hAnsi="Arial" w:cs="Arial"/>
                <w:sz w:val="20"/>
                <w:szCs w:val="20"/>
              </w:rPr>
            </w:pPr>
            <w:r w:rsidRPr="00393E4A">
              <w:rPr>
                <w:rFonts w:ascii="Arial" w:hAnsi="Arial" w:cs="Arial"/>
                <w:sz w:val="20"/>
                <w:szCs w:val="20"/>
              </w:rPr>
              <w:t>Cuando se comparan flujos contra saldos se debe consideran un valor promedio de los saldos.</w:t>
            </w:r>
            <w:r w:rsidR="00751E52" w:rsidRPr="00393E4A">
              <w:rPr>
                <w:rFonts w:ascii="Arial" w:hAnsi="Arial" w:cs="Arial"/>
                <w:sz w:val="20"/>
                <w:szCs w:val="20"/>
              </w:rPr>
              <w:t xml:space="preserve"> </w:t>
            </w:r>
            <w:r w:rsidRPr="00393E4A">
              <w:rPr>
                <w:rFonts w:ascii="Arial" w:hAnsi="Arial" w:cs="Arial"/>
                <w:sz w:val="20"/>
                <w:szCs w:val="20"/>
              </w:rPr>
              <w:t>L</w:t>
            </w:r>
            <w:r w:rsidR="00532D78" w:rsidRPr="00393E4A">
              <w:rPr>
                <w:rFonts w:ascii="Arial" w:hAnsi="Arial" w:cs="Arial"/>
                <w:sz w:val="20"/>
                <w:szCs w:val="20"/>
              </w:rPr>
              <w:t>a Gu</w:t>
            </w:r>
            <w:r w:rsidRPr="00393E4A">
              <w:rPr>
                <w:rFonts w:ascii="Arial" w:hAnsi="Arial" w:cs="Arial"/>
                <w:sz w:val="20"/>
                <w:szCs w:val="20"/>
              </w:rPr>
              <w:t>ía de C</w:t>
            </w:r>
            <w:r w:rsidR="00532D78" w:rsidRPr="00393E4A">
              <w:rPr>
                <w:rFonts w:ascii="Arial" w:hAnsi="Arial" w:cs="Arial"/>
                <w:sz w:val="20"/>
                <w:szCs w:val="20"/>
              </w:rPr>
              <w:t>ompilació</w:t>
            </w:r>
            <w:r w:rsidRPr="00393E4A">
              <w:rPr>
                <w:rFonts w:ascii="Arial" w:hAnsi="Arial" w:cs="Arial"/>
                <w:sz w:val="20"/>
                <w:szCs w:val="20"/>
              </w:rPr>
              <w:t>n</w:t>
            </w:r>
            <w:r w:rsidR="00532D78" w:rsidRPr="00393E4A">
              <w:rPr>
                <w:rFonts w:ascii="Arial" w:hAnsi="Arial" w:cs="Arial"/>
                <w:sz w:val="20"/>
                <w:szCs w:val="20"/>
              </w:rPr>
              <w:t xml:space="preserve"> de los Indicadores de Solidez</w:t>
            </w:r>
            <w:r w:rsidRPr="00393E4A">
              <w:rPr>
                <w:rFonts w:ascii="Arial" w:hAnsi="Arial" w:cs="Arial"/>
                <w:sz w:val="20"/>
                <w:szCs w:val="20"/>
              </w:rPr>
              <w:t xml:space="preserve"> recomienda que como mínimo</w:t>
            </w:r>
            <w:r w:rsidR="00532D78" w:rsidRPr="00393E4A">
              <w:rPr>
                <w:rFonts w:ascii="Arial" w:hAnsi="Arial" w:cs="Arial"/>
                <w:sz w:val="20"/>
                <w:szCs w:val="20"/>
              </w:rPr>
              <w:t xml:space="preserve"> el denominador </w:t>
            </w:r>
            <w:r w:rsidR="00E56BBF" w:rsidRPr="00393E4A">
              <w:rPr>
                <w:rFonts w:ascii="Arial" w:hAnsi="Arial" w:cs="Arial"/>
                <w:sz w:val="20"/>
                <w:szCs w:val="20"/>
              </w:rPr>
              <w:t>debiera</w:t>
            </w:r>
            <w:r w:rsidR="00532D78" w:rsidRPr="00393E4A">
              <w:rPr>
                <w:rFonts w:ascii="Arial" w:hAnsi="Arial" w:cs="Arial"/>
                <w:sz w:val="20"/>
                <w:szCs w:val="20"/>
              </w:rPr>
              <w:t xml:space="preserve"> calcularse utilizando el promedio de los saldos</w:t>
            </w:r>
            <w:r w:rsidR="00751E52" w:rsidRPr="00393E4A">
              <w:rPr>
                <w:rFonts w:ascii="Arial" w:hAnsi="Arial" w:cs="Arial"/>
                <w:sz w:val="20"/>
                <w:szCs w:val="20"/>
              </w:rPr>
              <w:t xml:space="preserve"> del patrimonio neto</w:t>
            </w:r>
            <w:r w:rsidR="00532D78" w:rsidRPr="00393E4A">
              <w:rPr>
                <w:rFonts w:ascii="Arial" w:hAnsi="Arial" w:cs="Arial"/>
                <w:sz w:val="20"/>
                <w:szCs w:val="20"/>
              </w:rPr>
              <w:t xml:space="preserve"> al principio y al final del períod</w:t>
            </w:r>
            <w:r w:rsidRPr="00393E4A">
              <w:rPr>
                <w:rFonts w:ascii="Arial" w:hAnsi="Arial" w:cs="Arial"/>
                <w:sz w:val="20"/>
                <w:szCs w:val="20"/>
              </w:rPr>
              <w:t>o.</w:t>
            </w:r>
          </w:p>
          <w:p w:rsidR="00AC2554" w:rsidRPr="00393E4A" w:rsidRDefault="00751E52" w:rsidP="000355E8">
            <w:pPr>
              <w:jc w:val="both"/>
              <w:rPr>
                <w:rFonts w:ascii="Arial" w:hAnsi="Arial" w:cs="Arial"/>
                <w:sz w:val="20"/>
                <w:szCs w:val="20"/>
              </w:rPr>
            </w:pPr>
            <w:r w:rsidRPr="00393E4A">
              <w:rPr>
                <w:rFonts w:ascii="Arial" w:hAnsi="Arial" w:cs="Arial"/>
                <w:sz w:val="20"/>
                <w:szCs w:val="20"/>
              </w:rPr>
              <w:t>P</w:t>
            </w:r>
            <w:r w:rsidR="00AC2554" w:rsidRPr="00393E4A">
              <w:rPr>
                <w:rFonts w:ascii="Arial" w:hAnsi="Arial" w:cs="Arial"/>
                <w:sz w:val="20"/>
                <w:szCs w:val="20"/>
              </w:rPr>
              <w:t xml:space="preserve">ara el reporte de los ODS el dato </w:t>
            </w:r>
            <w:r w:rsidRPr="00393E4A">
              <w:rPr>
                <w:rFonts w:ascii="Arial" w:hAnsi="Arial" w:cs="Arial"/>
                <w:sz w:val="20"/>
                <w:szCs w:val="20"/>
              </w:rPr>
              <w:t>ser</w:t>
            </w:r>
            <w:r w:rsidR="006C711A" w:rsidRPr="00393E4A">
              <w:rPr>
                <w:rFonts w:ascii="Arial" w:hAnsi="Arial" w:cs="Arial"/>
                <w:sz w:val="20"/>
                <w:szCs w:val="20"/>
              </w:rPr>
              <w:t>á de la rentabilidad de un ejercicio económico.</w:t>
            </w:r>
          </w:p>
        </w:tc>
      </w:tr>
      <w:tr w:rsidR="004E7BA5" w:rsidRPr="00393E4A" w:rsidTr="004A0DC0">
        <w:trPr>
          <w:trHeight w:val="513"/>
          <w:tblCellSpacing w:w="20" w:type="dxa"/>
        </w:trPr>
        <w:tc>
          <w:tcPr>
            <w:tcW w:w="4959" w:type="pct"/>
            <w:gridSpan w:val="5"/>
            <w:shd w:val="clear" w:color="auto" w:fill="C6D9F1"/>
            <w:vAlign w:val="center"/>
            <w:hideMark/>
          </w:tcPr>
          <w:p w:rsidR="004E7BA5" w:rsidRPr="00393E4A" w:rsidRDefault="004E7BA5" w:rsidP="00004233">
            <w:pPr>
              <w:jc w:val="center"/>
              <w:rPr>
                <w:rFonts w:ascii="Arial" w:eastAsia="Times New Roman" w:hAnsi="Arial" w:cs="Arial"/>
                <w:b/>
                <w:bCs/>
                <w:sz w:val="20"/>
                <w:szCs w:val="20"/>
              </w:rPr>
            </w:pPr>
            <w:r w:rsidRPr="00393E4A">
              <w:rPr>
                <w:rFonts w:ascii="Arial" w:eastAsia="Times New Roman" w:hAnsi="Arial" w:cs="Arial"/>
                <w:b/>
                <w:bCs/>
                <w:sz w:val="20"/>
                <w:szCs w:val="20"/>
              </w:rPr>
              <w:t>METODOLOGÍA DE CÁLCULO</w:t>
            </w:r>
          </w:p>
        </w:tc>
      </w:tr>
      <w:tr w:rsidR="004E7BA5" w:rsidRPr="00393E4A" w:rsidTr="004A0DC0">
        <w:trPr>
          <w:trHeight w:val="513"/>
          <w:tblCellSpacing w:w="20" w:type="dxa"/>
        </w:trPr>
        <w:tc>
          <w:tcPr>
            <w:tcW w:w="4959" w:type="pct"/>
            <w:gridSpan w:val="5"/>
            <w:tcBorders>
              <w:top w:val="outset" w:sz="6" w:space="0" w:color="auto"/>
              <w:bottom w:val="outset" w:sz="6" w:space="0" w:color="auto"/>
            </w:tcBorders>
            <w:shd w:val="clear" w:color="auto" w:fill="FFFFFF"/>
            <w:vAlign w:val="center"/>
            <w:hideMark/>
          </w:tcPr>
          <w:p w:rsidR="006C711A" w:rsidRPr="00393E4A" w:rsidRDefault="006C711A" w:rsidP="00FF4473">
            <w:pPr>
              <w:pStyle w:val="Prrafodelista"/>
              <w:numPr>
                <w:ilvl w:val="0"/>
                <w:numId w:val="34"/>
              </w:numPr>
              <w:autoSpaceDE w:val="0"/>
              <w:autoSpaceDN w:val="0"/>
              <w:adjustRightInd w:val="0"/>
              <w:spacing w:after="0"/>
              <w:jc w:val="both"/>
              <w:rPr>
                <w:rFonts w:ascii="Arial" w:eastAsia="Times New Roman" w:hAnsi="Arial" w:cs="Arial"/>
                <w:sz w:val="20"/>
                <w:szCs w:val="20"/>
              </w:rPr>
            </w:pPr>
            <w:r w:rsidRPr="00393E4A">
              <w:rPr>
                <w:rFonts w:ascii="Arial" w:eastAsia="Times New Roman" w:hAnsi="Arial" w:cs="Arial"/>
                <w:sz w:val="20"/>
                <w:szCs w:val="20"/>
              </w:rPr>
              <w:t xml:space="preserve">Se debe obtener el agregado del Resultado del ejercicio antes de ingresos y gastos extraordinarios de impuestos y participaciones en base a los estados de </w:t>
            </w:r>
            <w:proofErr w:type="spellStart"/>
            <w:r w:rsidRPr="00393E4A">
              <w:rPr>
                <w:rFonts w:ascii="Arial" w:eastAsia="Times New Roman" w:hAnsi="Arial" w:cs="Arial"/>
                <w:sz w:val="20"/>
                <w:szCs w:val="20"/>
              </w:rPr>
              <w:t>péridas</w:t>
            </w:r>
            <w:proofErr w:type="spellEnd"/>
            <w:r w:rsidRPr="00393E4A">
              <w:rPr>
                <w:rFonts w:ascii="Arial" w:eastAsia="Times New Roman" w:hAnsi="Arial" w:cs="Arial"/>
                <w:sz w:val="20"/>
                <w:szCs w:val="20"/>
              </w:rPr>
              <w:t xml:space="preserve"> y ganancias de las entidades que conforman la base de agregación para un ejercicio </w:t>
            </w:r>
            <w:proofErr w:type="spellStart"/>
            <w:r w:rsidRPr="00393E4A">
              <w:rPr>
                <w:rFonts w:ascii="Arial" w:eastAsia="Times New Roman" w:hAnsi="Arial" w:cs="Arial"/>
                <w:sz w:val="20"/>
                <w:szCs w:val="20"/>
              </w:rPr>
              <w:t>ejercicio</w:t>
            </w:r>
            <w:proofErr w:type="spellEnd"/>
            <w:r w:rsidRPr="00393E4A">
              <w:rPr>
                <w:rFonts w:ascii="Arial" w:eastAsia="Times New Roman" w:hAnsi="Arial" w:cs="Arial"/>
                <w:sz w:val="20"/>
                <w:szCs w:val="20"/>
              </w:rPr>
              <w:t xml:space="preserve"> económico</w:t>
            </w:r>
            <w:r w:rsidR="00A73EAC" w:rsidRPr="00393E4A">
              <w:rPr>
                <w:rStyle w:val="Refdenotaalpie"/>
                <w:rFonts w:ascii="Arial" w:eastAsia="Times New Roman" w:hAnsi="Arial" w:cs="Arial"/>
                <w:sz w:val="20"/>
                <w:szCs w:val="20"/>
              </w:rPr>
              <w:footnoteReference w:id="3"/>
            </w:r>
          </w:p>
          <w:p w:rsidR="00FF4473" w:rsidRPr="00393E4A" w:rsidRDefault="00FF4473" w:rsidP="00FF4473">
            <w:pPr>
              <w:pStyle w:val="Prrafodelista"/>
              <w:autoSpaceDE w:val="0"/>
              <w:autoSpaceDN w:val="0"/>
              <w:adjustRightInd w:val="0"/>
              <w:spacing w:after="0"/>
              <w:jc w:val="both"/>
              <w:rPr>
                <w:rFonts w:ascii="Arial" w:eastAsia="Times New Roman" w:hAnsi="Arial" w:cs="Arial"/>
                <w:sz w:val="20"/>
                <w:szCs w:val="20"/>
              </w:rPr>
            </w:pPr>
          </w:p>
          <w:p w:rsidR="006C711A" w:rsidRPr="00393E4A" w:rsidRDefault="006C711A" w:rsidP="00FF4473">
            <w:pPr>
              <w:pStyle w:val="Prrafodelista"/>
              <w:autoSpaceDE w:val="0"/>
              <w:autoSpaceDN w:val="0"/>
              <w:adjustRightInd w:val="0"/>
              <w:spacing w:after="0"/>
              <w:jc w:val="center"/>
              <w:rPr>
                <w:rFonts w:ascii="Arial" w:hAnsi="Arial" w:cs="Arial"/>
                <w:sz w:val="20"/>
                <w:szCs w:val="20"/>
              </w:rPr>
            </w:pPr>
            <w:r w:rsidRPr="00393E4A">
              <w:rPr>
                <w:rFonts w:ascii="Arial" w:hAnsi="Arial" w:cs="Arial"/>
                <w:sz w:val="20"/>
                <w:szCs w:val="20"/>
              </w:rPr>
              <w:t>+51-41+52+54-42+53-43-44-45</w:t>
            </w:r>
            <w:r w:rsidRPr="00393E4A">
              <w:rPr>
                <w:rStyle w:val="Refdenotaalpie"/>
                <w:rFonts w:ascii="Arial" w:hAnsi="Arial" w:cs="Arial"/>
                <w:sz w:val="20"/>
                <w:szCs w:val="20"/>
              </w:rPr>
              <w:footnoteReference w:id="4"/>
            </w:r>
          </w:p>
          <w:p w:rsidR="00FF4473" w:rsidRPr="00393E4A" w:rsidRDefault="00FF4473" w:rsidP="00FF4473">
            <w:pPr>
              <w:pStyle w:val="Prrafodelista"/>
              <w:autoSpaceDE w:val="0"/>
              <w:autoSpaceDN w:val="0"/>
              <w:adjustRightInd w:val="0"/>
              <w:spacing w:after="0"/>
              <w:jc w:val="center"/>
              <w:rPr>
                <w:rFonts w:ascii="Arial" w:hAnsi="Arial" w:cs="Arial"/>
                <w:sz w:val="20"/>
                <w:szCs w:val="20"/>
              </w:rPr>
            </w:pPr>
          </w:p>
          <w:p w:rsidR="006C711A" w:rsidRPr="00393E4A" w:rsidRDefault="006C711A" w:rsidP="00FF4473">
            <w:pPr>
              <w:pStyle w:val="Prrafodelista"/>
              <w:numPr>
                <w:ilvl w:val="0"/>
                <w:numId w:val="34"/>
              </w:numPr>
              <w:jc w:val="both"/>
              <w:rPr>
                <w:rFonts w:ascii="Arial" w:hAnsi="Arial" w:cs="Arial"/>
                <w:sz w:val="20"/>
                <w:szCs w:val="20"/>
              </w:rPr>
            </w:pPr>
            <w:r w:rsidRPr="00393E4A">
              <w:rPr>
                <w:rFonts w:ascii="Arial" w:hAnsi="Arial" w:cs="Arial"/>
                <w:sz w:val="20"/>
                <w:szCs w:val="20"/>
              </w:rPr>
              <w:lastRenderedPageBreak/>
              <w:t xml:space="preserve">Se obtienen los datos </w:t>
            </w:r>
            <w:r w:rsidR="00FB7468" w:rsidRPr="00393E4A">
              <w:rPr>
                <w:rFonts w:ascii="Arial" w:hAnsi="Arial" w:cs="Arial"/>
                <w:sz w:val="20"/>
                <w:szCs w:val="20"/>
              </w:rPr>
              <w:t xml:space="preserve">del </w:t>
            </w:r>
            <w:r w:rsidRPr="00393E4A">
              <w:rPr>
                <w:rFonts w:ascii="Arial" w:hAnsi="Arial" w:cs="Arial"/>
                <w:sz w:val="20"/>
                <w:szCs w:val="20"/>
              </w:rPr>
              <w:t xml:space="preserve">patrimonio neto agregado  del total </w:t>
            </w:r>
            <w:r w:rsidR="00FB7468" w:rsidRPr="00393E4A">
              <w:rPr>
                <w:rFonts w:ascii="Arial" w:hAnsi="Arial" w:cs="Arial"/>
                <w:sz w:val="20"/>
                <w:szCs w:val="20"/>
              </w:rPr>
              <w:t xml:space="preserve">del </w:t>
            </w:r>
            <w:r w:rsidR="00FF4473" w:rsidRPr="00393E4A">
              <w:rPr>
                <w:rFonts w:ascii="Arial" w:hAnsi="Arial" w:cs="Arial"/>
                <w:sz w:val="20"/>
                <w:szCs w:val="20"/>
              </w:rPr>
              <w:t>sistema financiero.</w:t>
            </w:r>
          </w:p>
          <w:p w:rsidR="00FF4473" w:rsidRPr="00393E4A" w:rsidRDefault="00FF4473" w:rsidP="00FF4473">
            <w:pPr>
              <w:pStyle w:val="Prrafodelista"/>
              <w:jc w:val="both"/>
              <w:rPr>
                <w:rFonts w:ascii="Arial" w:hAnsi="Arial" w:cs="Arial"/>
                <w:sz w:val="20"/>
                <w:szCs w:val="20"/>
              </w:rPr>
            </w:pPr>
          </w:p>
          <w:p w:rsidR="00FF4473" w:rsidRPr="00393E4A" w:rsidRDefault="006C711A" w:rsidP="00FF4473">
            <w:pPr>
              <w:pStyle w:val="Prrafodelista"/>
              <w:numPr>
                <w:ilvl w:val="0"/>
                <w:numId w:val="34"/>
              </w:numPr>
              <w:jc w:val="both"/>
              <w:rPr>
                <w:rFonts w:ascii="Arial" w:hAnsi="Arial" w:cs="Arial"/>
                <w:sz w:val="20"/>
                <w:szCs w:val="20"/>
              </w:rPr>
            </w:pPr>
            <w:r w:rsidRPr="00393E4A">
              <w:rPr>
                <w:rFonts w:ascii="Arial" w:hAnsi="Arial" w:cs="Arial"/>
                <w:sz w:val="20"/>
                <w:szCs w:val="20"/>
              </w:rPr>
              <w:t xml:space="preserve">Se calcula un promedio del patrimonio neto agregado del total </w:t>
            </w:r>
            <w:r w:rsidR="00FB7468" w:rsidRPr="00393E4A">
              <w:rPr>
                <w:rFonts w:ascii="Arial" w:hAnsi="Arial" w:cs="Arial"/>
                <w:sz w:val="20"/>
                <w:szCs w:val="20"/>
              </w:rPr>
              <w:t xml:space="preserve">del </w:t>
            </w:r>
            <w:r w:rsidRPr="00393E4A">
              <w:rPr>
                <w:rFonts w:ascii="Arial" w:hAnsi="Arial" w:cs="Arial"/>
                <w:sz w:val="20"/>
                <w:szCs w:val="20"/>
              </w:rPr>
              <w:t>sistema financiero</w:t>
            </w:r>
            <w:r w:rsidR="006E7085" w:rsidRPr="00393E4A">
              <w:rPr>
                <w:rFonts w:ascii="Arial" w:hAnsi="Arial" w:cs="Arial"/>
                <w:sz w:val="20"/>
                <w:szCs w:val="20"/>
              </w:rPr>
              <w:t xml:space="preserve"> considerando diciembre del año inmediato anterior.</w:t>
            </w:r>
          </w:p>
          <w:p w:rsidR="00FF4473" w:rsidRPr="00393E4A" w:rsidRDefault="00FF4473" w:rsidP="00FF4473">
            <w:pPr>
              <w:pStyle w:val="Prrafodelista"/>
              <w:spacing w:after="0"/>
              <w:jc w:val="both"/>
              <w:rPr>
                <w:rFonts w:ascii="Arial" w:hAnsi="Arial" w:cs="Arial"/>
                <w:sz w:val="20"/>
                <w:szCs w:val="20"/>
              </w:rPr>
            </w:pPr>
          </w:p>
          <w:p w:rsidR="00B3511E" w:rsidRPr="00393E4A" w:rsidRDefault="006C711A" w:rsidP="00FF4473">
            <w:pPr>
              <w:pStyle w:val="Prrafodelista"/>
              <w:numPr>
                <w:ilvl w:val="0"/>
                <w:numId w:val="34"/>
              </w:numPr>
              <w:jc w:val="both"/>
              <w:rPr>
                <w:rFonts w:ascii="Arial" w:hAnsi="Arial" w:cs="Arial"/>
                <w:sz w:val="20"/>
                <w:szCs w:val="20"/>
              </w:rPr>
            </w:pPr>
            <w:r w:rsidRPr="00393E4A">
              <w:rPr>
                <w:rFonts w:ascii="Arial" w:hAnsi="Arial" w:cs="Arial"/>
                <w:sz w:val="20"/>
                <w:szCs w:val="20"/>
              </w:rPr>
              <w:t>Se divide a) para c)</w:t>
            </w:r>
          </w:p>
        </w:tc>
      </w:tr>
      <w:tr w:rsidR="004E7BA5" w:rsidRPr="00393E4A" w:rsidTr="003A2829">
        <w:trPr>
          <w:trHeight w:val="677"/>
          <w:tblCellSpacing w:w="20" w:type="dxa"/>
        </w:trPr>
        <w:tc>
          <w:tcPr>
            <w:tcW w:w="4959" w:type="pct"/>
            <w:gridSpan w:val="5"/>
            <w:shd w:val="clear" w:color="auto" w:fill="C6D9F1"/>
            <w:vAlign w:val="center"/>
          </w:tcPr>
          <w:p w:rsidR="004E7BA5" w:rsidRPr="00393E4A" w:rsidRDefault="004E7BA5" w:rsidP="003A2829">
            <w:pPr>
              <w:jc w:val="center"/>
              <w:rPr>
                <w:rFonts w:ascii="Arial" w:eastAsia="Times New Roman" w:hAnsi="Arial" w:cs="Arial"/>
                <w:sz w:val="20"/>
                <w:szCs w:val="20"/>
              </w:rPr>
            </w:pPr>
            <w:r w:rsidRPr="00393E4A">
              <w:rPr>
                <w:rFonts w:ascii="Arial" w:eastAsia="Times New Roman" w:hAnsi="Arial" w:cs="Arial"/>
                <w:b/>
                <w:bCs/>
                <w:sz w:val="20"/>
                <w:szCs w:val="20"/>
              </w:rPr>
              <w:lastRenderedPageBreak/>
              <w:t>LIMITACIONES TÉCNICAS</w:t>
            </w:r>
          </w:p>
        </w:tc>
      </w:tr>
      <w:tr w:rsidR="004E7BA5" w:rsidRPr="00393E4A" w:rsidTr="003A2829">
        <w:trPr>
          <w:trHeight w:val="677"/>
          <w:tblCellSpacing w:w="20" w:type="dxa"/>
        </w:trPr>
        <w:tc>
          <w:tcPr>
            <w:tcW w:w="4959" w:type="pct"/>
            <w:gridSpan w:val="5"/>
            <w:shd w:val="clear" w:color="auto" w:fill="auto"/>
            <w:vAlign w:val="center"/>
            <w:hideMark/>
          </w:tcPr>
          <w:p w:rsidR="00B477DA" w:rsidRPr="00393E4A" w:rsidRDefault="00F60D80" w:rsidP="00B477DA">
            <w:pPr>
              <w:jc w:val="both"/>
              <w:rPr>
                <w:rFonts w:ascii="Arial" w:hAnsi="Arial" w:cs="Arial"/>
                <w:sz w:val="20"/>
                <w:szCs w:val="20"/>
                <w:lang w:val="es-ES_tradnl"/>
              </w:rPr>
            </w:pPr>
            <w:r w:rsidRPr="00393E4A">
              <w:rPr>
                <w:rFonts w:ascii="Arial" w:hAnsi="Arial" w:cs="Arial"/>
                <w:sz w:val="20"/>
                <w:szCs w:val="20"/>
                <w:lang w:val="es-ES_tradnl"/>
              </w:rPr>
              <w:t>L</w:t>
            </w:r>
            <w:r w:rsidR="00D732F6" w:rsidRPr="00393E4A">
              <w:rPr>
                <w:rFonts w:ascii="Arial" w:hAnsi="Arial" w:cs="Arial"/>
                <w:sz w:val="20"/>
                <w:szCs w:val="20"/>
                <w:lang w:val="es-ES_tradnl"/>
              </w:rPr>
              <w:t xml:space="preserve">os códigos contables </w:t>
            </w:r>
            <w:r w:rsidRPr="00393E4A">
              <w:rPr>
                <w:rFonts w:ascii="Arial" w:hAnsi="Arial" w:cs="Arial"/>
                <w:sz w:val="20"/>
                <w:szCs w:val="20"/>
                <w:lang w:val="es-ES_tradnl"/>
              </w:rPr>
              <w:t>corresponde</w:t>
            </w:r>
            <w:r w:rsidR="00D732F6" w:rsidRPr="00393E4A">
              <w:rPr>
                <w:rFonts w:ascii="Arial" w:hAnsi="Arial" w:cs="Arial"/>
                <w:sz w:val="20"/>
                <w:szCs w:val="20"/>
                <w:lang w:val="es-ES_tradnl"/>
              </w:rPr>
              <w:t>n</w:t>
            </w:r>
            <w:r w:rsidR="00FB7468" w:rsidRPr="00393E4A">
              <w:rPr>
                <w:rFonts w:ascii="Arial" w:hAnsi="Arial" w:cs="Arial"/>
                <w:sz w:val="20"/>
                <w:szCs w:val="20"/>
                <w:lang w:val="es-ES_tradnl"/>
              </w:rPr>
              <w:t xml:space="preserve"> al Catálogo Único de </w:t>
            </w:r>
            <w:r w:rsidRPr="00393E4A">
              <w:rPr>
                <w:rFonts w:ascii="Arial" w:hAnsi="Arial" w:cs="Arial"/>
                <w:sz w:val="20"/>
                <w:szCs w:val="20"/>
                <w:lang w:val="es-ES_tradnl"/>
              </w:rPr>
              <w:t>C</w:t>
            </w:r>
            <w:r w:rsidR="00FB7468" w:rsidRPr="00393E4A">
              <w:rPr>
                <w:rFonts w:ascii="Arial" w:hAnsi="Arial" w:cs="Arial"/>
                <w:sz w:val="20"/>
                <w:szCs w:val="20"/>
                <w:lang w:val="es-ES_tradnl"/>
              </w:rPr>
              <w:t>uentas (CUC)</w:t>
            </w:r>
            <w:r w:rsidRPr="00393E4A">
              <w:rPr>
                <w:rFonts w:ascii="Arial" w:hAnsi="Arial" w:cs="Arial"/>
                <w:sz w:val="20"/>
                <w:szCs w:val="20"/>
                <w:lang w:val="es-ES_tradnl"/>
              </w:rPr>
              <w:t xml:space="preserve"> vigente a partir de agosto de 2015</w:t>
            </w:r>
            <w:r w:rsidR="0073410E" w:rsidRPr="00393E4A">
              <w:rPr>
                <w:rFonts w:ascii="Arial" w:hAnsi="Arial" w:cs="Arial"/>
                <w:sz w:val="20"/>
                <w:szCs w:val="20"/>
                <w:lang w:val="es-ES_tradnl"/>
              </w:rPr>
              <w:t>.</w:t>
            </w:r>
          </w:p>
          <w:p w:rsidR="00FB7468" w:rsidRPr="00393E4A" w:rsidRDefault="00FB7468" w:rsidP="00FB7468">
            <w:pPr>
              <w:jc w:val="both"/>
              <w:rPr>
                <w:rFonts w:ascii="Arial" w:hAnsi="Arial" w:cs="Arial"/>
                <w:sz w:val="20"/>
                <w:szCs w:val="20"/>
                <w:lang w:val="es-ES_tradnl"/>
              </w:rPr>
            </w:pPr>
            <w:r w:rsidRPr="00393E4A">
              <w:rPr>
                <w:rFonts w:ascii="Arial" w:hAnsi="Arial" w:cs="Arial"/>
                <w:sz w:val="20"/>
                <w:szCs w:val="20"/>
                <w:lang w:val="es-ES_tradnl"/>
              </w:rPr>
              <w:t>Este ratio conjuntamente con otros Indicadores de l</w:t>
            </w:r>
            <w:r w:rsidR="00D3490E">
              <w:rPr>
                <w:rFonts w:ascii="Arial" w:hAnsi="Arial" w:cs="Arial"/>
                <w:sz w:val="20"/>
                <w:szCs w:val="20"/>
                <w:lang w:val="es-ES_tradnl"/>
              </w:rPr>
              <w:t>as Estadísticas de Solidez sirve</w:t>
            </w:r>
            <w:r w:rsidRPr="00393E4A">
              <w:rPr>
                <w:rFonts w:ascii="Arial" w:hAnsi="Arial" w:cs="Arial"/>
                <w:sz w:val="20"/>
                <w:szCs w:val="20"/>
                <w:lang w:val="es-ES_tradnl"/>
              </w:rPr>
              <w:t xml:space="preserve"> únicamente para evaluar la salud del sistema financiera, no se recomienda como medida de seguimiento de la meta 10.5 de los indicadores ODS.</w:t>
            </w:r>
          </w:p>
          <w:p w:rsidR="00FB7468" w:rsidRPr="00393E4A" w:rsidRDefault="00FB7468" w:rsidP="00FB7468">
            <w:pPr>
              <w:jc w:val="both"/>
              <w:rPr>
                <w:rFonts w:ascii="Arial" w:hAnsi="Arial" w:cs="Arial"/>
                <w:sz w:val="20"/>
                <w:szCs w:val="20"/>
                <w:lang w:val="es-ES_tradnl"/>
              </w:rPr>
            </w:pPr>
            <w:r w:rsidRPr="00393E4A">
              <w:rPr>
                <w:rFonts w:ascii="Arial" w:hAnsi="Arial" w:cs="Arial"/>
                <w:sz w:val="20"/>
                <w:szCs w:val="20"/>
              </w:rPr>
              <w:t>“</w:t>
            </w:r>
            <w:r w:rsidRPr="00393E4A">
              <w:rPr>
                <w:rFonts w:ascii="Arial" w:hAnsi="Arial" w:cs="Arial"/>
                <w:i/>
                <w:sz w:val="20"/>
                <w:szCs w:val="20"/>
                <w:lang w:val="es-ES_tradnl"/>
              </w:rPr>
              <w:t>10.5 Mejorar la regulación y la supervisión de los mercados financieros globales y las instituciones y fortalecer la aplicación de dichas normas.”</w:t>
            </w:r>
          </w:p>
          <w:p w:rsidR="006E3518" w:rsidRPr="00393E4A" w:rsidRDefault="006E3518" w:rsidP="006E3518">
            <w:pPr>
              <w:jc w:val="both"/>
              <w:rPr>
                <w:rFonts w:ascii="Arial" w:hAnsi="Arial" w:cs="Arial"/>
                <w:sz w:val="20"/>
                <w:szCs w:val="20"/>
                <w:lang w:val="es-ES_tradnl"/>
              </w:rPr>
            </w:pPr>
            <w:r w:rsidRPr="00393E4A">
              <w:rPr>
                <w:rFonts w:ascii="Arial" w:hAnsi="Arial" w:cs="Arial"/>
                <w:sz w:val="20"/>
                <w:szCs w:val="20"/>
                <w:lang w:val="es-ES_tradnl"/>
              </w:rPr>
              <w:t>Naciones Unidas dispone que se usen los Indicadores de Solidez para el seguimiento del objetivo 10.5 pero no ha especificado todavía cuales indicadores específicos deberán utilizarse de las Estadísticas de Solidez para monitorear la meta 10.5, Según correo</w:t>
            </w:r>
            <w:r w:rsidR="00E56BBF" w:rsidRPr="00393E4A">
              <w:rPr>
                <w:rFonts w:ascii="Arial" w:hAnsi="Arial" w:cs="Arial"/>
                <w:sz w:val="20"/>
                <w:szCs w:val="20"/>
                <w:lang w:val="es-ES_tradnl"/>
              </w:rPr>
              <w:t xml:space="preserve"> de </w:t>
            </w:r>
            <w:proofErr w:type="spellStart"/>
            <w:r w:rsidR="00E56BBF" w:rsidRPr="00393E4A">
              <w:rPr>
                <w:rFonts w:ascii="Arial" w:hAnsi="Arial" w:cs="Arial"/>
                <w:sz w:val="20"/>
                <w:szCs w:val="20"/>
                <w:lang w:val="es-ES_tradnl"/>
              </w:rPr>
              <w:t>Benhamin</w:t>
            </w:r>
            <w:proofErr w:type="spellEnd"/>
            <w:r w:rsidR="00E56BBF" w:rsidRPr="00393E4A">
              <w:rPr>
                <w:rFonts w:ascii="Arial" w:hAnsi="Arial" w:cs="Arial"/>
                <w:sz w:val="20"/>
                <w:szCs w:val="20"/>
                <w:lang w:val="es-ES_tradnl"/>
              </w:rPr>
              <w:t xml:space="preserve"> Rae</w:t>
            </w:r>
            <w:r w:rsidRPr="00393E4A">
              <w:rPr>
                <w:rFonts w:ascii="Arial" w:hAnsi="Arial" w:cs="Arial"/>
                <w:sz w:val="20"/>
                <w:szCs w:val="20"/>
                <w:lang w:val="es-ES_tradnl"/>
              </w:rPr>
              <w:t xml:space="preserve"> de Naciones Unidas, la Comisión de Expertos de Indicadores ODS (integrada por varias agencias internacionales) está esperando que el FMI determine que indicadores se deben usar para la meta 10.5.</w:t>
            </w:r>
          </w:p>
          <w:p w:rsidR="000752AE" w:rsidRPr="00393E4A" w:rsidRDefault="006E3518" w:rsidP="006E3518">
            <w:pPr>
              <w:jc w:val="both"/>
              <w:rPr>
                <w:rFonts w:ascii="Arial" w:eastAsia="Times New Roman" w:hAnsi="Arial" w:cs="Arial"/>
                <w:sz w:val="20"/>
                <w:szCs w:val="20"/>
              </w:rPr>
            </w:pPr>
            <w:r w:rsidRPr="00393E4A">
              <w:rPr>
                <w:rFonts w:ascii="Arial" w:hAnsi="Arial" w:cs="Arial"/>
                <w:sz w:val="20"/>
                <w:szCs w:val="20"/>
                <w:lang w:val="es-ES_tradnl"/>
              </w:rPr>
              <w:t>Los datos agregados desde el 2012 sólo cubre el sector financiero controlado por la SB.</w:t>
            </w:r>
            <w:r w:rsidR="000752AE" w:rsidRPr="00393E4A">
              <w:rPr>
                <w:rFonts w:ascii="Arial" w:hAnsi="Arial" w:cs="Arial"/>
                <w:sz w:val="20"/>
                <w:szCs w:val="20"/>
                <w:lang w:val="es-ES_tradnl"/>
              </w:rPr>
              <w:t xml:space="preserve"> </w:t>
            </w:r>
          </w:p>
        </w:tc>
      </w:tr>
      <w:tr w:rsidR="004E7BA5" w:rsidRPr="00393E4A" w:rsidTr="00393E4A">
        <w:trPr>
          <w:trHeight w:val="567"/>
          <w:tblCellSpacing w:w="20" w:type="dxa"/>
        </w:trPr>
        <w:tc>
          <w:tcPr>
            <w:tcW w:w="2392" w:type="pct"/>
            <w:gridSpan w:val="3"/>
            <w:shd w:val="clear" w:color="auto" w:fill="C6D9F1"/>
            <w:vAlign w:val="center"/>
          </w:tcPr>
          <w:p w:rsidR="004E7BA5" w:rsidRPr="00393E4A" w:rsidRDefault="004E7BA5" w:rsidP="00393E4A">
            <w:pPr>
              <w:rPr>
                <w:rFonts w:ascii="Arial" w:eastAsia="Times New Roman" w:hAnsi="Arial" w:cs="Arial"/>
                <w:b/>
                <w:bCs/>
                <w:sz w:val="20"/>
                <w:szCs w:val="20"/>
              </w:rPr>
            </w:pPr>
            <w:r w:rsidRPr="00393E4A">
              <w:rPr>
                <w:rFonts w:ascii="Arial" w:eastAsia="Times New Roman" w:hAnsi="Arial" w:cs="Arial"/>
                <w:b/>
                <w:bCs/>
                <w:sz w:val="20"/>
                <w:szCs w:val="20"/>
              </w:rPr>
              <w:t>UNIDAD DE MEDIDA O EXPRESIÓN DEL INDICADOR</w:t>
            </w:r>
          </w:p>
        </w:tc>
        <w:tc>
          <w:tcPr>
            <w:tcW w:w="2547" w:type="pct"/>
            <w:gridSpan w:val="2"/>
            <w:shd w:val="clear" w:color="auto" w:fill="auto"/>
            <w:vAlign w:val="center"/>
          </w:tcPr>
          <w:p w:rsidR="004E7BA5" w:rsidRPr="00393E4A" w:rsidRDefault="004E7BA5" w:rsidP="00C26D32">
            <w:pPr>
              <w:jc w:val="both"/>
              <w:rPr>
                <w:rFonts w:ascii="Arial" w:eastAsia="Times New Roman" w:hAnsi="Arial" w:cs="Arial"/>
                <w:sz w:val="20"/>
                <w:szCs w:val="20"/>
              </w:rPr>
            </w:pPr>
            <w:r w:rsidRPr="00393E4A">
              <w:rPr>
                <w:rFonts w:ascii="Arial" w:eastAsia="Times New Roman" w:hAnsi="Arial" w:cs="Arial"/>
                <w:sz w:val="20"/>
                <w:szCs w:val="20"/>
              </w:rPr>
              <w:t xml:space="preserve"> </w:t>
            </w:r>
            <w:r w:rsidR="00C10246" w:rsidRPr="00393E4A">
              <w:rPr>
                <w:rFonts w:ascii="Arial" w:eastAsia="Times New Roman" w:hAnsi="Arial" w:cs="Arial"/>
                <w:sz w:val="20"/>
                <w:szCs w:val="20"/>
              </w:rPr>
              <w:t>Porcentaje.</w:t>
            </w:r>
          </w:p>
        </w:tc>
      </w:tr>
      <w:tr w:rsidR="004E7BA5" w:rsidRPr="00393E4A" w:rsidTr="006E7085">
        <w:trPr>
          <w:trHeight w:val="630"/>
          <w:tblCellSpacing w:w="20" w:type="dxa"/>
        </w:trPr>
        <w:tc>
          <w:tcPr>
            <w:tcW w:w="2392" w:type="pct"/>
            <w:gridSpan w:val="3"/>
            <w:shd w:val="clear" w:color="auto" w:fill="C6D9F1"/>
            <w:vAlign w:val="center"/>
            <w:hideMark/>
          </w:tcPr>
          <w:p w:rsidR="004E7BA5" w:rsidRPr="00393E4A" w:rsidRDefault="004E7BA5" w:rsidP="00004233">
            <w:pPr>
              <w:rPr>
                <w:rFonts w:ascii="Arial" w:eastAsia="Times New Roman" w:hAnsi="Arial" w:cs="Arial"/>
                <w:b/>
                <w:bCs/>
                <w:sz w:val="20"/>
                <w:szCs w:val="20"/>
              </w:rPr>
            </w:pPr>
            <w:r w:rsidRPr="00393E4A">
              <w:rPr>
                <w:rFonts w:ascii="Arial" w:eastAsia="Times New Roman" w:hAnsi="Arial" w:cs="Arial"/>
                <w:b/>
                <w:bCs/>
                <w:sz w:val="20"/>
                <w:szCs w:val="20"/>
              </w:rPr>
              <w:t xml:space="preserve">                                                                                                                                                                                                                                               INTERPRETACIÓN DEL INDICADOR</w:t>
            </w:r>
          </w:p>
        </w:tc>
        <w:tc>
          <w:tcPr>
            <w:tcW w:w="2547" w:type="pct"/>
            <w:gridSpan w:val="2"/>
            <w:shd w:val="clear" w:color="auto" w:fill="auto"/>
            <w:vAlign w:val="center"/>
            <w:hideMark/>
          </w:tcPr>
          <w:p w:rsidR="000355E8" w:rsidRPr="00393E4A" w:rsidRDefault="000355E8" w:rsidP="00D732F6">
            <w:pPr>
              <w:autoSpaceDE w:val="0"/>
              <w:autoSpaceDN w:val="0"/>
              <w:adjustRightInd w:val="0"/>
              <w:spacing w:after="0" w:line="240" w:lineRule="auto"/>
              <w:jc w:val="both"/>
              <w:rPr>
                <w:rFonts w:ascii="Arial" w:hAnsi="Arial" w:cs="Arial"/>
                <w:sz w:val="20"/>
                <w:szCs w:val="20"/>
                <w:lang w:val="es-ES_tradnl"/>
              </w:rPr>
            </w:pPr>
          </w:p>
          <w:p w:rsidR="000355E8" w:rsidRPr="00393E4A" w:rsidRDefault="00D3490E" w:rsidP="00D732F6">
            <w:pPr>
              <w:autoSpaceDE w:val="0"/>
              <w:autoSpaceDN w:val="0"/>
              <w:adjustRightInd w:val="0"/>
              <w:spacing w:after="0" w:line="240" w:lineRule="auto"/>
              <w:jc w:val="both"/>
              <w:rPr>
                <w:rFonts w:ascii="Arial" w:hAnsi="Arial" w:cs="Arial"/>
                <w:i/>
                <w:sz w:val="20"/>
                <w:szCs w:val="20"/>
                <w:lang w:val="es-ES_tradnl"/>
              </w:rPr>
            </w:pPr>
            <w:r>
              <w:rPr>
                <w:rFonts w:ascii="Arial" w:hAnsi="Arial" w:cs="Arial"/>
                <w:sz w:val="20"/>
                <w:szCs w:val="20"/>
                <w:lang w:val="es-ES_tradnl"/>
              </w:rPr>
              <w:t>Mide la eficiencia con que las instituciones de depósito usan su capital</w:t>
            </w:r>
            <w:r w:rsidR="006C5D68">
              <w:rPr>
                <w:rFonts w:ascii="Arial" w:hAnsi="Arial" w:cs="Arial"/>
                <w:sz w:val="20"/>
                <w:szCs w:val="20"/>
                <w:lang w:val="es-ES_tradnl"/>
              </w:rPr>
              <w:t>,</w:t>
            </w:r>
            <w:r>
              <w:rPr>
                <w:rFonts w:ascii="Arial" w:hAnsi="Arial" w:cs="Arial"/>
                <w:sz w:val="20"/>
                <w:szCs w:val="20"/>
                <w:lang w:val="es-ES_tradnl"/>
              </w:rPr>
              <w:t xml:space="preserve"> así como la sostenibilidad de la posición de capital</w:t>
            </w:r>
            <w:r w:rsidR="0040512B" w:rsidRPr="00393E4A">
              <w:rPr>
                <w:rStyle w:val="Refdenotaalpie"/>
                <w:rFonts w:ascii="Arial" w:hAnsi="Arial" w:cs="Arial"/>
                <w:sz w:val="20"/>
                <w:szCs w:val="20"/>
                <w:lang w:val="es-ES_tradnl"/>
              </w:rPr>
              <w:footnoteReference w:id="5"/>
            </w:r>
            <w:r w:rsidR="0040512B" w:rsidRPr="00393E4A">
              <w:rPr>
                <w:rFonts w:ascii="Arial" w:hAnsi="Arial" w:cs="Arial"/>
                <w:sz w:val="20"/>
                <w:szCs w:val="20"/>
                <w:lang w:val="es-ES_tradnl"/>
              </w:rPr>
              <w:t>.</w:t>
            </w:r>
          </w:p>
          <w:p w:rsidR="00154FF8" w:rsidRPr="00393E4A" w:rsidRDefault="00154FF8" w:rsidP="00D732F6">
            <w:pPr>
              <w:autoSpaceDE w:val="0"/>
              <w:autoSpaceDN w:val="0"/>
              <w:adjustRightInd w:val="0"/>
              <w:spacing w:after="0" w:line="240" w:lineRule="auto"/>
              <w:jc w:val="both"/>
              <w:rPr>
                <w:rFonts w:ascii="Arial" w:hAnsi="Arial" w:cs="Arial"/>
                <w:sz w:val="20"/>
                <w:szCs w:val="20"/>
              </w:rPr>
            </w:pPr>
          </w:p>
        </w:tc>
      </w:tr>
      <w:tr w:rsidR="004E7BA5" w:rsidRPr="00393E4A" w:rsidTr="006E7085">
        <w:trPr>
          <w:trHeight w:val="627"/>
          <w:tblCellSpacing w:w="20" w:type="dxa"/>
        </w:trPr>
        <w:tc>
          <w:tcPr>
            <w:tcW w:w="2392" w:type="pct"/>
            <w:gridSpan w:val="3"/>
            <w:shd w:val="clear" w:color="auto" w:fill="C6D9F1"/>
            <w:vAlign w:val="center"/>
            <w:hideMark/>
          </w:tcPr>
          <w:p w:rsidR="004E7BA5" w:rsidRPr="00393E4A" w:rsidRDefault="004E7BA5" w:rsidP="00004233">
            <w:pPr>
              <w:rPr>
                <w:rFonts w:ascii="Arial" w:eastAsia="Times New Roman" w:hAnsi="Arial" w:cs="Arial"/>
                <w:b/>
                <w:bCs/>
                <w:sz w:val="20"/>
                <w:szCs w:val="20"/>
              </w:rPr>
            </w:pPr>
            <w:r w:rsidRPr="00393E4A">
              <w:rPr>
                <w:rFonts w:ascii="Arial" w:eastAsia="Times New Roman" w:hAnsi="Arial" w:cs="Arial"/>
                <w:b/>
                <w:bCs/>
                <w:sz w:val="20"/>
                <w:szCs w:val="20"/>
              </w:rPr>
              <w:t>FUENTE DE DATOS (Nombre de la Operación Estadística e Institución que la produce)</w:t>
            </w:r>
          </w:p>
        </w:tc>
        <w:tc>
          <w:tcPr>
            <w:tcW w:w="2547" w:type="pct"/>
            <w:gridSpan w:val="2"/>
            <w:shd w:val="clear" w:color="auto" w:fill="auto"/>
            <w:vAlign w:val="center"/>
            <w:hideMark/>
          </w:tcPr>
          <w:p w:rsidR="00F275A8" w:rsidRPr="00393E4A" w:rsidRDefault="00F275A8" w:rsidP="00F275A8">
            <w:pPr>
              <w:pStyle w:val="NormalWeb"/>
              <w:spacing w:before="0" w:beforeAutospacing="0" w:after="0" w:afterAutospacing="0"/>
              <w:jc w:val="both"/>
              <w:rPr>
                <w:rFonts w:ascii="Arial" w:eastAsia="Calibri" w:hAnsi="Arial" w:cs="Arial"/>
                <w:iCs/>
                <w:color w:val="000000"/>
                <w:sz w:val="20"/>
                <w:szCs w:val="20"/>
                <w:lang w:val="es-EC" w:eastAsia="en-US"/>
              </w:rPr>
            </w:pPr>
            <w:r w:rsidRPr="00393E4A">
              <w:rPr>
                <w:rFonts w:ascii="Arial" w:eastAsia="Calibri" w:hAnsi="Arial" w:cs="Arial"/>
                <w:iCs/>
                <w:color w:val="000000"/>
                <w:sz w:val="20"/>
                <w:szCs w:val="20"/>
                <w:lang w:val="es-EC" w:eastAsia="en-US"/>
              </w:rPr>
              <w:t>Estadísticas de las Estructuras Integradas de Información:</w:t>
            </w:r>
          </w:p>
          <w:p w:rsidR="00FF4473" w:rsidRPr="00393E4A" w:rsidRDefault="00FF4473" w:rsidP="00F275A8">
            <w:pPr>
              <w:pStyle w:val="NormalWeb"/>
              <w:spacing w:before="0" w:beforeAutospacing="0" w:after="0" w:afterAutospacing="0"/>
              <w:jc w:val="both"/>
              <w:rPr>
                <w:rFonts w:ascii="Arial" w:eastAsia="Calibri" w:hAnsi="Arial" w:cs="Arial"/>
                <w:iCs/>
                <w:color w:val="000000"/>
                <w:sz w:val="20"/>
                <w:szCs w:val="20"/>
                <w:lang w:val="es-EC" w:eastAsia="en-US"/>
              </w:rPr>
            </w:pPr>
          </w:p>
          <w:p w:rsidR="004E7BA5" w:rsidRPr="00393E4A" w:rsidRDefault="00F275A8" w:rsidP="00F275A8">
            <w:pPr>
              <w:pStyle w:val="NormalWeb"/>
              <w:spacing w:before="0" w:beforeAutospacing="0" w:after="0" w:afterAutospacing="0"/>
              <w:jc w:val="both"/>
              <w:rPr>
                <w:rFonts w:ascii="Arial" w:hAnsi="Arial" w:cs="Arial"/>
                <w:sz w:val="20"/>
                <w:szCs w:val="20"/>
                <w:lang w:val="es-EC"/>
              </w:rPr>
            </w:pPr>
            <w:r w:rsidRPr="00393E4A">
              <w:rPr>
                <w:rFonts w:ascii="Arial" w:eastAsia="Calibri" w:hAnsi="Arial" w:cs="Arial"/>
                <w:iCs/>
                <w:color w:val="000000"/>
                <w:sz w:val="20"/>
                <w:szCs w:val="20"/>
                <w:lang w:val="es-EC" w:eastAsia="en-US"/>
              </w:rPr>
              <w:t>Datos Agregados de cartera improductiva y cartera bruta para las Estadísticas de los Indicadores de Solidez Financiera (Superintendencia de Bancos)</w:t>
            </w:r>
          </w:p>
        </w:tc>
      </w:tr>
      <w:tr w:rsidR="004E7BA5" w:rsidRPr="00393E4A" w:rsidTr="006E7085">
        <w:trPr>
          <w:trHeight w:val="741"/>
          <w:tblCellSpacing w:w="20" w:type="dxa"/>
        </w:trPr>
        <w:tc>
          <w:tcPr>
            <w:tcW w:w="2392" w:type="pct"/>
            <w:gridSpan w:val="3"/>
            <w:shd w:val="clear" w:color="auto" w:fill="C6D9F1"/>
            <w:vAlign w:val="center"/>
            <w:hideMark/>
          </w:tcPr>
          <w:p w:rsidR="004E7BA5" w:rsidRPr="00393E4A" w:rsidRDefault="004E7BA5" w:rsidP="0059347C">
            <w:pPr>
              <w:rPr>
                <w:rFonts w:ascii="Arial" w:eastAsia="Times New Roman" w:hAnsi="Arial" w:cs="Arial"/>
                <w:b/>
                <w:bCs/>
                <w:sz w:val="20"/>
                <w:szCs w:val="20"/>
              </w:rPr>
            </w:pPr>
            <w:r w:rsidRPr="00393E4A">
              <w:rPr>
                <w:rFonts w:ascii="Arial" w:eastAsia="Times New Roman" w:hAnsi="Arial" w:cs="Arial"/>
                <w:b/>
                <w:bCs/>
                <w:sz w:val="20"/>
                <w:szCs w:val="20"/>
              </w:rPr>
              <w:t xml:space="preserve">PERIODICIDAD DE REPORTE DEL INDICADOR </w:t>
            </w:r>
          </w:p>
        </w:tc>
        <w:tc>
          <w:tcPr>
            <w:tcW w:w="2547" w:type="pct"/>
            <w:gridSpan w:val="2"/>
            <w:shd w:val="clear" w:color="auto" w:fill="auto"/>
            <w:vAlign w:val="center"/>
            <w:hideMark/>
          </w:tcPr>
          <w:p w:rsidR="004E7BA5" w:rsidRPr="00393E4A" w:rsidRDefault="00304F9F" w:rsidP="0059347C">
            <w:pPr>
              <w:jc w:val="both"/>
              <w:rPr>
                <w:rFonts w:ascii="Arial" w:eastAsia="Times New Roman" w:hAnsi="Arial" w:cs="Arial"/>
                <w:sz w:val="20"/>
                <w:szCs w:val="20"/>
              </w:rPr>
            </w:pPr>
            <w:r w:rsidRPr="00393E4A">
              <w:rPr>
                <w:rFonts w:ascii="Arial" w:eastAsia="Times New Roman" w:hAnsi="Arial" w:cs="Arial"/>
                <w:sz w:val="20"/>
                <w:szCs w:val="20"/>
              </w:rPr>
              <w:t>Anual</w:t>
            </w:r>
          </w:p>
        </w:tc>
      </w:tr>
      <w:tr w:rsidR="004E7BA5" w:rsidRPr="00393E4A" w:rsidTr="006E7085">
        <w:trPr>
          <w:trHeight w:val="513"/>
          <w:tblCellSpacing w:w="20" w:type="dxa"/>
        </w:trPr>
        <w:tc>
          <w:tcPr>
            <w:tcW w:w="2392" w:type="pct"/>
            <w:gridSpan w:val="3"/>
            <w:shd w:val="clear" w:color="auto" w:fill="C6D9F1"/>
            <w:vAlign w:val="center"/>
            <w:hideMark/>
          </w:tcPr>
          <w:p w:rsidR="004E7BA5" w:rsidRPr="00393E4A" w:rsidRDefault="004E7BA5" w:rsidP="00004233">
            <w:pPr>
              <w:rPr>
                <w:rFonts w:ascii="Arial" w:eastAsia="Times New Roman" w:hAnsi="Arial" w:cs="Arial"/>
                <w:b/>
                <w:bCs/>
                <w:sz w:val="20"/>
                <w:szCs w:val="20"/>
              </w:rPr>
            </w:pPr>
            <w:r w:rsidRPr="00393E4A">
              <w:rPr>
                <w:rFonts w:ascii="Arial" w:eastAsia="Times New Roman" w:hAnsi="Arial" w:cs="Arial"/>
                <w:b/>
                <w:bCs/>
                <w:sz w:val="20"/>
                <w:szCs w:val="20"/>
              </w:rPr>
              <w:lastRenderedPageBreak/>
              <w:t>DISPONIBILIDAD DE LOS DATOS</w:t>
            </w:r>
          </w:p>
        </w:tc>
        <w:tc>
          <w:tcPr>
            <w:tcW w:w="2547" w:type="pct"/>
            <w:gridSpan w:val="2"/>
            <w:shd w:val="clear" w:color="auto" w:fill="auto"/>
            <w:vAlign w:val="center"/>
            <w:hideMark/>
          </w:tcPr>
          <w:p w:rsidR="004E7BA5" w:rsidRPr="00393E4A" w:rsidRDefault="00FF4473" w:rsidP="000752AE">
            <w:pPr>
              <w:jc w:val="both"/>
              <w:rPr>
                <w:rFonts w:ascii="Arial" w:eastAsia="Times New Roman" w:hAnsi="Arial" w:cs="Arial"/>
                <w:sz w:val="20"/>
                <w:szCs w:val="20"/>
              </w:rPr>
            </w:pPr>
            <w:r w:rsidRPr="00393E4A">
              <w:rPr>
                <w:rFonts w:ascii="Arial" w:eastAsia="Times New Roman" w:hAnsi="Arial" w:cs="Arial"/>
                <w:sz w:val="20"/>
                <w:szCs w:val="20"/>
              </w:rPr>
              <w:t xml:space="preserve">Desde </w:t>
            </w:r>
            <w:r w:rsidR="006E7085" w:rsidRPr="00393E4A">
              <w:rPr>
                <w:rFonts w:ascii="Arial" w:eastAsia="Times New Roman" w:hAnsi="Arial" w:cs="Arial"/>
                <w:sz w:val="20"/>
                <w:szCs w:val="20"/>
              </w:rPr>
              <w:t>2002.</w:t>
            </w:r>
          </w:p>
        </w:tc>
      </w:tr>
      <w:tr w:rsidR="004E7BA5" w:rsidRPr="00393E4A" w:rsidTr="006E7085">
        <w:trPr>
          <w:trHeight w:val="611"/>
          <w:tblCellSpacing w:w="20" w:type="dxa"/>
        </w:trPr>
        <w:tc>
          <w:tcPr>
            <w:tcW w:w="1057" w:type="pct"/>
            <w:vMerge w:val="restart"/>
            <w:tcBorders>
              <w:top w:val="outset" w:sz="6" w:space="0" w:color="auto"/>
              <w:right w:val="outset" w:sz="6" w:space="0" w:color="auto"/>
            </w:tcBorders>
            <w:shd w:val="clear" w:color="auto" w:fill="C6D9F1"/>
            <w:vAlign w:val="center"/>
          </w:tcPr>
          <w:p w:rsidR="004E7BA5" w:rsidRPr="00393E4A" w:rsidRDefault="004E7BA5" w:rsidP="00004233">
            <w:pPr>
              <w:rPr>
                <w:rFonts w:ascii="Arial" w:eastAsia="Times New Roman" w:hAnsi="Arial" w:cs="Arial"/>
                <w:b/>
                <w:bCs/>
                <w:sz w:val="20"/>
                <w:szCs w:val="20"/>
              </w:rPr>
            </w:pPr>
            <w:r w:rsidRPr="00393E4A">
              <w:rPr>
                <w:rFonts w:ascii="Arial" w:eastAsia="Times New Roman" w:hAnsi="Arial" w:cs="Arial"/>
                <w:b/>
                <w:bCs/>
                <w:sz w:val="20"/>
                <w:szCs w:val="20"/>
              </w:rPr>
              <w:t>NIVEL DE DESAGREGACIÓN</w:t>
            </w:r>
          </w:p>
        </w:tc>
        <w:tc>
          <w:tcPr>
            <w:tcW w:w="1315" w:type="pct"/>
            <w:gridSpan w:val="2"/>
            <w:tcBorders>
              <w:top w:val="outset" w:sz="6" w:space="0" w:color="auto"/>
              <w:left w:val="outset" w:sz="6" w:space="0" w:color="auto"/>
            </w:tcBorders>
            <w:shd w:val="clear" w:color="auto" w:fill="C6D9F1"/>
            <w:vAlign w:val="center"/>
          </w:tcPr>
          <w:p w:rsidR="004E7BA5" w:rsidRPr="00393E4A" w:rsidRDefault="004E7BA5" w:rsidP="00004233">
            <w:pPr>
              <w:rPr>
                <w:rFonts w:ascii="Arial" w:eastAsia="Times New Roman" w:hAnsi="Arial" w:cs="Arial"/>
                <w:b/>
                <w:bCs/>
                <w:sz w:val="20"/>
                <w:szCs w:val="20"/>
              </w:rPr>
            </w:pPr>
            <w:r w:rsidRPr="00393E4A">
              <w:rPr>
                <w:rFonts w:ascii="Arial" w:eastAsia="Times New Roman" w:hAnsi="Arial" w:cs="Arial"/>
                <w:b/>
                <w:bCs/>
                <w:sz w:val="20"/>
                <w:szCs w:val="20"/>
              </w:rPr>
              <w:t>GEOGRÁFICO</w:t>
            </w:r>
          </w:p>
        </w:tc>
        <w:tc>
          <w:tcPr>
            <w:tcW w:w="2547" w:type="pct"/>
            <w:gridSpan w:val="2"/>
            <w:shd w:val="clear" w:color="auto" w:fill="auto"/>
            <w:vAlign w:val="center"/>
          </w:tcPr>
          <w:p w:rsidR="004E7BA5" w:rsidRPr="00393E4A" w:rsidRDefault="000C1246" w:rsidP="00FF4473">
            <w:pPr>
              <w:jc w:val="both"/>
              <w:rPr>
                <w:rFonts w:ascii="Arial" w:hAnsi="Arial" w:cs="Arial"/>
                <w:sz w:val="20"/>
                <w:szCs w:val="20"/>
                <w:lang w:eastAsia="en-US"/>
              </w:rPr>
            </w:pPr>
            <w:r w:rsidRPr="00393E4A">
              <w:rPr>
                <w:rFonts w:ascii="Arial" w:hAnsi="Arial" w:cs="Arial"/>
                <w:sz w:val="20"/>
                <w:szCs w:val="20"/>
                <w:lang w:eastAsia="en-US"/>
              </w:rPr>
              <w:t>Nacional</w:t>
            </w:r>
            <w:r w:rsidR="00FF4473" w:rsidRPr="00393E4A">
              <w:rPr>
                <w:rStyle w:val="Refdenotaalpie"/>
                <w:rFonts w:ascii="Arial" w:hAnsi="Arial" w:cs="Arial"/>
                <w:sz w:val="20"/>
                <w:szCs w:val="20"/>
                <w:lang w:eastAsia="en-US"/>
              </w:rPr>
              <w:footnoteReference w:id="6"/>
            </w:r>
            <w:r w:rsidRPr="00393E4A">
              <w:rPr>
                <w:rFonts w:ascii="Arial" w:hAnsi="Arial" w:cs="Arial"/>
                <w:sz w:val="20"/>
                <w:szCs w:val="20"/>
                <w:lang w:eastAsia="en-US"/>
              </w:rPr>
              <w:t xml:space="preserve"> </w:t>
            </w:r>
          </w:p>
        </w:tc>
      </w:tr>
      <w:tr w:rsidR="004E7BA5" w:rsidRPr="00393E4A" w:rsidTr="006E7085">
        <w:trPr>
          <w:trHeight w:val="513"/>
          <w:tblCellSpacing w:w="20" w:type="dxa"/>
        </w:trPr>
        <w:tc>
          <w:tcPr>
            <w:tcW w:w="1057" w:type="pct"/>
            <w:vMerge/>
            <w:tcBorders>
              <w:right w:val="outset" w:sz="6" w:space="0" w:color="auto"/>
            </w:tcBorders>
            <w:shd w:val="clear" w:color="auto" w:fill="C6D9F1"/>
            <w:vAlign w:val="center"/>
          </w:tcPr>
          <w:p w:rsidR="004E7BA5" w:rsidRPr="00393E4A" w:rsidRDefault="004E7BA5" w:rsidP="00004233">
            <w:pPr>
              <w:rPr>
                <w:rFonts w:ascii="Arial" w:eastAsia="Times New Roman" w:hAnsi="Arial" w:cs="Arial"/>
                <w:b/>
                <w:bCs/>
                <w:sz w:val="20"/>
                <w:szCs w:val="20"/>
              </w:rPr>
            </w:pPr>
          </w:p>
        </w:tc>
        <w:tc>
          <w:tcPr>
            <w:tcW w:w="1315" w:type="pct"/>
            <w:gridSpan w:val="2"/>
            <w:tcBorders>
              <w:left w:val="outset" w:sz="6" w:space="0" w:color="auto"/>
            </w:tcBorders>
            <w:shd w:val="clear" w:color="auto" w:fill="C6D9F1"/>
            <w:vAlign w:val="center"/>
          </w:tcPr>
          <w:p w:rsidR="004E7BA5" w:rsidRPr="00393E4A" w:rsidRDefault="004E7BA5" w:rsidP="00004233">
            <w:pPr>
              <w:rPr>
                <w:rFonts w:ascii="Arial" w:eastAsia="Times New Roman" w:hAnsi="Arial" w:cs="Arial"/>
                <w:b/>
                <w:bCs/>
                <w:sz w:val="20"/>
                <w:szCs w:val="20"/>
              </w:rPr>
            </w:pPr>
            <w:r w:rsidRPr="00393E4A">
              <w:rPr>
                <w:rFonts w:ascii="Arial" w:eastAsia="Times New Roman" w:hAnsi="Arial" w:cs="Arial"/>
                <w:b/>
                <w:bCs/>
                <w:sz w:val="20"/>
                <w:szCs w:val="20"/>
              </w:rPr>
              <w:t>GENERAL</w:t>
            </w:r>
          </w:p>
        </w:tc>
        <w:tc>
          <w:tcPr>
            <w:tcW w:w="2547" w:type="pct"/>
            <w:gridSpan w:val="2"/>
            <w:shd w:val="clear" w:color="auto" w:fill="auto"/>
            <w:vAlign w:val="center"/>
          </w:tcPr>
          <w:p w:rsidR="004E7BA5" w:rsidRPr="00393E4A" w:rsidRDefault="00FF4473" w:rsidP="00C26D32">
            <w:pPr>
              <w:jc w:val="both"/>
              <w:rPr>
                <w:rFonts w:ascii="Arial" w:hAnsi="Arial" w:cs="Arial"/>
                <w:sz w:val="20"/>
                <w:szCs w:val="20"/>
                <w:lang w:eastAsia="en-US"/>
              </w:rPr>
            </w:pPr>
            <w:r w:rsidRPr="00393E4A">
              <w:rPr>
                <w:rFonts w:ascii="Arial" w:hAnsi="Arial" w:cs="Arial"/>
                <w:sz w:val="20"/>
                <w:szCs w:val="20"/>
                <w:lang w:eastAsia="en-US"/>
              </w:rPr>
              <w:t>No aplica.</w:t>
            </w:r>
          </w:p>
        </w:tc>
      </w:tr>
      <w:tr w:rsidR="004E7BA5" w:rsidRPr="00393E4A" w:rsidTr="006E7085">
        <w:trPr>
          <w:trHeight w:val="513"/>
          <w:tblCellSpacing w:w="20" w:type="dxa"/>
        </w:trPr>
        <w:tc>
          <w:tcPr>
            <w:tcW w:w="1057" w:type="pct"/>
            <w:vMerge/>
            <w:tcBorders>
              <w:bottom w:val="outset" w:sz="6" w:space="0" w:color="auto"/>
              <w:right w:val="outset" w:sz="6" w:space="0" w:color="auto"/>
            </w:tcBorders>
            <w:shd w:val="clear" w:color="auto" w:fill="C6D9F1"/>
            <w:vAlign w:val="center"/>
          </w:tcPr>
          <w:p w:rsidR="004E7BA5" w:rsidRPr="00393E4A" w:rsidRDefault="004E7BA5" w:rsidP="00004233">
            <w:pPr>
              <w:rPr>
                <w:rFonts w:ascii="Arial" w:eastAsia="Times New Roman" w:hAnsi="Arial" w:cs="Arial"/>
                <w:b/>
                <w:bCs/>
                <w:sz w:val="20"/>
                <w:szCs w:val="20"/>
              </w:rPr>
            </w:pPr>
          </w:p>
        </w:tc>
        <w:tc>
          <w:tcPr>
            <w:tcW w:w="1315" w:type="pct"/>
            <w:gridSpan w:val="2"/>
            <w:tcBorders>
              <w:left w:val="outset" w:sz="6" w:space="0" w:color="auto"/>
              <w:bottom w:val="outset" w:sz="6" w:space="0" w:color="auto"/>
            </w:tcBorders>
            <w:shd w:val="clear" w:color="auto" w:fill="C6D9F1"/>
            <w:vAlign w:val="center"/>
          </w:tcPr>
          <w:p w:rsidR="004E7BA5" w:rsidRPr="00393E4A" w:rsidRDefault="004E7BA5" w:rsidP="00004233">
            <w:pPr>
              <w:rPr>
                <w:rFonts w:ascii="Arial" w:eastAsia="Times New Roman" w:hAnsi="Arial" w:cs="Arial"/>
                <w:b/>
                <w:bCs/>
                <w:sz w:val="20"/>
                <w:szCs w:val="20"/>
              </w:rPr>
            </w:pPr>
            <w:r w:rsidRPr="00393E4A">
              <w:rPr>
                <w:rFonts w:ascii="Arial" w:eastAsia="Times New Roman" w:hAnsi="Arial" w:cs="Arial"/>
                <w:b/>
                <w:bCs/>
                <w:sz w:val="20"/>
                <w:szCs w:val="20"/>
              </w:rPr>
              <w:t>OTROS ÁMBITOS</w:t>
            </w:r>
          </w:p>
        </w:tc>
        <w:tc>
          <w:tcPr>
            <w:tcW w:w="2547" w:type="pct"/>
            <w:gridSpan w:val="2"/>
            <w:shd w:val="clear" w:color="auto" w:fill="auto"/>
            <w:vAlign w:val="center"/>
          </w:tcPr>
          <w:p w:rsidR="004E7BA5" w:rsidRPr="00393E4A" w:rsidRDefault="00FF4473" w:rsidP="00004233">
            <w:pPr>
              <w:jc w:val="both"/>
              <w:rPr>
                <w:rFonts w:ascii="Arial" w:eastAsia="Times New Roman" w:hAnsi="Arial" w:cs="Arial"/>
                <w:sz w:val="20"/>
                <w:szCs w:val="20"/>
              </w:rPr>
            </w:pPr>
            <w:r w:rsidRPr="00393E4A">
              <w:rPr>
                <w:rFonts w:ascii="Arial" w:hAnsi="Arial" w:cs="Arial"/>
                <w:sz w:val="20"/>
                <w:szCs w:val="20"/>
                <w:lang w:eastAsia="en-US"/>
              </w:rPr>
              <w:t>No aplica.</w:t>
            </w:r>
          </w:p>
        </w:tc>
      </w:tr>
      <w:tr w:rsidR="004E7BA5" w:rsidRPr="00393E4A" w:rsidTr="00602647">
        <w:trPr>
          <w:trHeight w:val="609"/>
          <w:tblCellSpacing w:w="20" w:type="dxa"/>
        </w:trPr>
        <w:tc>
          <w:tcPr>
            <w:tcW w:w="2392" w:type="pct"/>
            <w:gridSpan w:val="3"/>
            <w:shd w:val="clear" w:color="auto" w:fill="C6D9F1"/>
            <w:vAlign w:val="center"/>
            <w:hideMark/>
          </w:tcPr>
          <w:p w:rsidR="004E7BA5" w:rsidRPr="00393E4A" w:rsidRDefault="004E7BA5" w:rsidP="00004233">
            <w:pPr>
              <w:rPr>
                <w:rFonts w:ascii="Arial" w:eastAsia="Times New Roman" w:hAnsi="Arial" w:cs="Arial"/>
                <w:b/>
                <w:bCs/>
                <w:sz w:val="20"/>
                <w:szCs w:val="20"/>
              </w:rPr>
            </w:pPr>
            <w:r w:rsidRPr="00393E4A">
              <w:rPr>
                <w:rFonts w:ascii="Arial" w:eastAsia="Times New Roman" w:hAnsi="Arial" w:cs="Arial"/>
                <w:b/>
                <w:bCs/>
                <w:sz w:val="20"/>
                <w:szCs w:val="20"/>
              </w:rPr>
              <w:t>INFORMACIÓN GEO – REFERENCIADA</w:t>
            </w:r>
          </w:p>
        </w:tc>
        <w:tc>
          <w:tcPr>
            <w:tcW w:w="2547" w:type="pct"/>
            <w:gridSpan w:val="2"/>
            <w:shd w:val="clear" w:color="auto" w:fill="auto"/>
            <w:vAlign w:val="center"/>
            <w:hideMark/>
          </w:tcPr>
          <w:p w:rsidR="004E7BA5" w:rsidRPr="00393E4A" w:rsidRDefault="00FF4473" w:rsidP="00004233">
            <w:pPr>
              <w:jc w:val="both"/>
              <w:rPr>
                <w:rFonts w:ascii="Arial" w:eastAsia="Times New Roman" w:hAnsi="Arial" w:cs="Arial"/>
                <w:color w:val="000000"/>
                <w:sz w:val="20"/>
                <w:szCs w:val="20"/>
              </w:rPr>
            </w:pPr>
            <w:r w:rsidRPr="00393E4A">
              <w:rPr>
                <w:rFonts w:ascii="Arial" w:hAnsi="Arial" w:cs="Arial"/>
                <w:sz w:val="20"/>
                <w:szCs w:val="20"/>
                <w:lang w:eastAsia="en-US"/>
              </w:rPr>
              <w:t>No aplica.</w:t>
            </w:r>
          </w:p>
        </w:tc>
      </w:tr>
      <w:tr w:rsidR="006E7085" w:rsidRPr="00393E4A" w:rsidTr="00393E4A">
        <w:trPr>
          <w:trHeight w:val="2436"/>
          <w:tblCellSpacing w:w="20" w:type="dxa"/>
        </w:trPr>
        <w:tc>
          <w:tcPr>
            <w:tcW w:w="2392" w:type="pct"/>
            <w:gridSpan w:val="3"/>
            <w:shd w:val="clear" w:color="auto" w:fill="C6D9F1"/>
            <w:vAlign w:val="center"/>
            <w:hideMark/>
          </w:tcPr>
          <w:p w:rsidR="006E7085" w:rsidRPr="00393E4A" w:rsidRDefault="006E7085" w:rsidP="004E0B76">
            <w:pPr>
              <w:rPr>
                <w:rFonts w:ascii="Arial" w:eastAsia="Times New Roman" w:hAnsi="Arial" w:cs="Arial"/>
                <w:b/>
                <w:bCs/>
                <w:sz w:val="20"/>
                <w:szCs w:val="20"/>
              </w:rPr>
            </w:pPr>
            <w:r w:rsidRPr="00393E4A">
              <w:rPr>
                <w:rFonts w:ascii="Arial" w:eastAsia="Times New Roman" w:hAnsi="Arial" w:cs="Arial"/>
                <w:b/>
                <w:bCs/>
                <w:sz w:val="20"/>
                <w:szCs w:val="20"/>
              </w:rPr>
              <w:t>RELACI</w:t>
            </w:r>
            <w:r w:rsidRPr="00393E4A">
              <w:rPr>
                <w:rFonts w:ascii="Arial" w:eastAsia="Times New Roman" w:hAnsi="Arial" w:cs="Arial"/>
                <w:b/>
                <w:bCs/>
                <w:color w:val="000000"/>
                <w:sz w:val="20"/>
                <w:szCs w:val="20"/>
              </w:rPr>
              <w:t xml:space="preserve">ÓN CON  INSTRUMENTOS DE PLANIFICACIÓN NACIONAL </w:t>
            </w:r>
            <w:r w:rsidRPr="00393E4A">
              <w:rPr>
                <w:rFonts w:ascii="Arial" w:hAnsi="Arial" w:cs="Arial"/>
                <w:b/>
                <w:sz w:val="20"/>
                <w:szCs w:val="20"/>
              </w:rPr>
              <w:t xml:space="preserve">E </w:t>
            </w:r>
            <w:r w:rsidRPr="00393E4A">
              <w:rPr>
                <w:rFonts w:ascii="Arial" w:eastAsia="Times New Roman" w:hAnsi="Arial" w:cs="Arial"/>
                <w:b/>
                <w:bCs/>
                <w:color w:val="000000"/>
                <w:sz w:val="20"/>
                <w:szCs w:val="20"/>
              </w:rPr>
              <w:t>INTERNACIONAL</w:t>
            </w:r>
          </w:p>
        </w:tc>
        <w:tc>
          <w:tcPr>
            <w:tcW w:w="2547" w:type="pct"/>
            <w:gridSpan w:val="2"/>
            <w:shd w:val="clear" w:color="auto" w:fill="auto"/>
            <w:vAlign w:val="center"/>
            <w:hideMark/>
          </w:tcPr>
          <w:p w:rsidR="00FF4473" w:rsidRPr="00393E4A" w:rsidRDefault="00FF4473" w:rsidP="00FF4473">
            <w:pPr>
              <w:pStyle w:val="Prrafodelista"/>
              <w:numPr>
                <w:ilvl w:val="0"/>
                <w:numId w:val="37"/>
              </w:numPr>
              <w:spacing w:after="0" w:line="240" w:lineRule="auto"/>
              <w:jc w:val="both"/>
              <w:rPr>
                <w:rFonts w:ascii="Arial" w:eastAsia="Times New Roman" w:hAnsi="Arial" w:cs="Arial"/>
                <w:sz w:val="20"/>
                <w:szCs w:val="20"/>
              </w:rPr>
            </w:pPr>
            <w:r w:rsidRPr="00393E4A">
              <w:rPr>
                <w:rFonts w:ascii="Arial" w:eastAsia="Times New Roman" w:hAnsi="Arial" w:cs="Arial"/>
                <w:sz w:val="20"/>
                <w:szCs w:val="20"/>
              </w:rPr>
              <w:t>Agenda de Desarrollo 2030 – Objetivos de Desarrollo Sostenible</w:t>
            </w:r>
          </w:p>
          <w:p w:rsidR="006E7085" w:rsidRPr="00393E4A" w:rsidRDefault="006E7085" w:rsidP="00FF4473">
            <w:pPr>
              <w:pStyle w:val="Textocomentario"/>
              <w:ind w:left="360"/>
              <w:jc w:val="both"/>
              <w:rPr>
                <w:rFonts w:ascii="Arial" w:hAnsi="Arial" w:cs="Arial"/>
              </w:rPr>
            </w:pPr>
          </w:p>
          <w:p w:rsidR="006E7085" w:rsidRPr="00393E4A" w:rsidRDefault="006E7085" w:rsidP="002B6E22">
            <w:pPr>
              <w:pStyle w:val="Textocomentario"/>
              <w:jc w:val="both"/>
              <w:rPr>
                <w:rFonts w:ascii="Arial" w:hAnsi="Arial" w:cs="Arial"/>
              </w:rPr>
            </w:pPr>
            <w:r w:rsidRPr="00393E4A">
              <w:rPr>
                <w:rFonts w:ascii="Arial" w:hAnsi="Arial" w:cs="Arial"/>
                <w:b/>
              </w:rPr>
              <w:t>Objetivo 10:</w:t>
            </w:r>
            <w:r w:rsidRPr="00393E4A">
              <w:rPr>
                <w:rFonts w:ascii="Arial" w:hAnsi="Arial" w:cs="Arial"/>
              </w:rPr>
              <w:t xml:space="preserve"> Reducir la desigualdad dentro y entre países.</w:t>
            </w:r>
          </w:p>
          <w:p w:rsidR="00FF4473" w:rsidRPr="00393E4A" w:rsidRDefault="00FF4473" w:rsidP="002B6E22">
            <w:pPr>
              <w:pStyle w:val="Textocomentario"/>
              <w:jc w:val="both"/>
              <w:rPr>
                <w:rFonts w:ascii="Arial" w:hAnsi="Arial" w:cs="Arial"/>
              </w:rPr>
            </w:pPr>
          </w:p>
          <w:p w:rsidR="006E7085" w:rsidRPr="00393E4A" w:rsidRDefault="006E7085" w:rsidP="002B6E22">
            <w:pPr>
              <w:pStyle w:val="Textocomentario"/>
              <w:jc w:val="both"/>
              <w:rPr>
                <w:rFonts w:ascii="Arial" w:hAnsi="Arial" w:cs="Arial"/>
              </w:rPr>
            </w:pPr>
            <w:r w:rsidRPr="00393E4A">
              <w:rPr>
                <w:rFonts w:ascii="Arial" w:hAnsi="Arial" w:cs="Arial"/>
                <w:b/>
              </w:rPr>
              <w:t>Meta 10.5</w:t>
            </w:r>
            <w:r w:rsidR="00FB7468" w:rsidRPr="00393E4A">
              <w:rPr>
                <w:rFonts w:ascii="Arial" w:hAnsi="Arial" w:cs="Arial"/>
                <w:b/>
              </w:rPr>
              <w:t>:</w:t>
            </w:r>
            <w:r w:rsidRPr="00393E4A">
              <w:rPr>
                <w:rFonts w:ascii="Arial" w:hAnsi="Arial" w:cs="Arial"/>
              </w:rPr>
              <w:t xml:space="preserve"> Mejorar la regulación y supervisión de los mercados financieros globales y de las instituciones y fortalecer la aplicación de dichas normas.</w:t>
            </w:r>
          </w:p>
        </w:tc>
      </w:tr>
      <w:tr w:rsidR="006E7085" w:rsidRPr="00393E4A" w:rsidTr="00602647">
        <w:trPr>
          <w:trHeight w:val="1210"/>
          <w:tblCellSpacing w:w="20" w:type="dxa"/>
        </w:trPr>
        <w:tc>
          <w:tcPr>
            <w:tcW w:w="2392" w:type="pct"/>
            <w:gridSpan w:val="3"/>
            <w:shd w:val="clear" w:color="auto" w:fill="C6D9F1"/>
            <w:vAlign w:val="center"/>
          </w:tcPr>
          <w:p w:rsidR="006E7085" w:rsidRPr="00393E4A" w:rsidRDefault="006E7085" w:rsidP="00004233">
            <w:pPr>
              <w:rPr>
                <w:rFonts w:ascii="Arial" w:eastAsia="Times New Roman" w:hAnsi="Arial" w:cs="Arial"/>
                <w:b/>
                <w:bCs/>
                <w:sz w:val="20"/>
                <w:szCs w:val="20"/>
              </w:rPr>
            </w:pPr>
            <w:r w:rsidRPr="00393E4A">
              <w:rPr>
                <w:rFonts w:ascii="Arial" w:eastAsia="Times New Roman" w:hAnsi="Arial" w:cs="Arial"/>
                <w:b/>
                <w:bCs/>
                <w:sz w:val="20"/>
                <w:szCs w:val="20"/>
              </w:rPr>
              <w:t>REFERENCIAS BIBLIOGRÁFICAS DE LA CONSTRUCCIÓN DEL INDICADOR</w:t>
            </w:r>
          </w:p>
        </w:tc>
        <w:tc>
          <w:tcPr>
            <w:tcW w:w="2547" w:type="pct"/>
            <w:gridSpan w:val="2"/>
            <w:shd w:val="clear" w:color="auto" w:fill="auto"/>
            <w:vAlign w:val="center"/>
          </w:tcPr>
          <w:p w:rsidR="006E7085" w:rsidRPr="00393E4A" w:rsidRDefault="006E7085" w:rsidP="0073410E">
            <w:pPr>
              <w:pStyle w:val="Prrafodelista"/>
              <w:numPr>
                <w:ilvl w:val="0"/>
                <w:numId w:val="35"/>
              </w:numPr>
              <w:autoSpaceDE w:val="0"/>
              <w:autoSpaceDN w:val="0"/>
              <w:adjustRightInd w:val="0"/>
              <w:spacing w:after="0" w:line="240" w:lineRule="auto"/>
              <w:jc w:val="both"/>
              <w:rPr>
                <w:rFonts w:ascii="Arial" w:hAnsi="Arial" w:cs="Arial"/>
                <w:iCs/>
                <w:color w:val="000000"/>
                <w:sz w:val="20"/>
                <w:szCs w:val="20"/>
                <w:lang w:eastAsia="en-US"/>
              </w:rPr>
            </w:pPr>
            <w:r w:rsidRPr="00393E4A">
              <w:rPr>
                <w:rFonts w:ascii="Arial" w:hAnsi="Arial" w:cs="Arial"/>
                <w:iCs/>
                <w:color w:val="000000"/>
                <w:sz w:val="20"/>
                <w:szCs w:val="20"/>
                <w:lang w:eastAsia="en-US"/>
              </w:rPr>
              <w:t xml:space="preserve">Indicadores de solidez financiera: Guía </w:t>
            </w:r>
            <w:r w:rsidR="00CB10EF" w:rsidRPr="00393E4A">
              <w:rPr>
                <w:rFonts w:ascii="Arial" w:hAnsi="Arial" w:cs="Arial"/>
                <w:iCs/>
                <w:color w:val="000000"/>
                <w:sz w:val="20"/>
                <w:szCs w:val="20"/>
                <w:lang w:eastAsia="en-US"/>
              </w:rPr>
              <w:t>de compilación—Washington, D.C.</w:t>
            </w:r>
            <w:r w:rsidRPr="00393E4A">
              <w:rPr>
                <w:rFonts w:ascii="Arial" w:hAnsi="Arial" w:cs="Arial"/>
                <w:iCs/>
                <w:color w:val="000000"/>
                <w:sz w:val="20"/>
                <w:szCs w:val="20"/>
                <w:lang w:eastAsia="en-US"/>
              </w:rPr>
              <w:t>: Fondo</w:t>
            </w:r>
            <w:r w:rsidR="00CB10EF" w:rsidRPr="00393E4A">
              <w:rPr>
                <w:rFonts w:ascii="Arial" w:hAnsi="Arial" w:cs="Arial"/>
                <w:iCs/>
                <w:color w:val="000000"/>
                <w:sz w:val="20"/>
                <w:szCs w:val="20"/>
                <w:lang w:eastAsia="en-US"/>
              </w:rPr>
              <w:t xml:space="preserve"> </w:t>
            </w:r>
            <w:r w:rsidRPr="00393E4A">
              <w:rPr>
                <w:rFonts w:ascii="Arial" w:hAnsi="Arial" w:cs="Arial"/>
                <w:iCs/>
                <w:color w:val="000000"/>
                <w:sz w:val="20"/>
                <w:szCs w:val="20"/>
                <w:lang w:eastAsia="en-US"/>
              </w:rPr>
              <w:t>Monetario Internacional, 2006.</w:t>
            </w:r>
          </w:p>
          <w:p w:rsidR="006E7085" w:rsidRPr="00393E4A" w:rsidRDefault="006E7085" w:rsidP="00CB10EF">
            <w:pPr>
              <w:pStyle w:val="Prrafodelista"/>
              <w:numPr>
                <w:ilvl w:val="0"/>
                <w:numId w:val="35"/>
              </w:numPr>
              <w:autoSpaceDE w:val="0"/>
              <w:autoSpaceDN w:val="0"/>
              <w:adjustRightInd w:val="0"/>
              <w:spacing w:after="0" w:line="240" w:lineRule="auto"/>
              <w:jc w:val="both"/>
              <w:rPr>
                <w:rFonts w:ascii="Arial" w:hAnsi="Arial" w:cs="Arial"/>
                <w:iCs/>
                <w:color w:val="000000"/>
                <w:sz w:val="20"/>
                <w:szCs w:val="20"/>
                <w:lang w:eastAsia="en-US"/>
              </w:rPr>
            </w:pPr>
            <w:r w:rsidRPr="00393E4A">
              <w:rPr>
                <w:rFonts w:ascii="Arial" w:hAnsi="Arial" w:cs="Arial"/>
                <w:iCs/>
                <w:color w:val="000000"/>
                <w:sz w:val="20"/>
                <w:szCs w:val="20"/>
                <w:lang w:eastAsia="en-US"/>
              </w:rPr>
              <w:t xml:space="preserve">Catálogo único de cuentas </w:t>
            </w:r>
          </w:p>
        </w:tc>
      </w:tr>
      <w:tr w:rsidR="006E7085" w:rsidRPr="00393E4A" w:rsidTr="001C149A">
        <w:trPr>
          <w:trHeight w:val="586"/>
          <w:tblCellSpacing w:w="20" w:type="dxa"/>
        </w:trPr>
        <w:tc>
          <w:tcPr>
            <w:tcW w:w="2392" w:type="pct"/>
            <w:gridSpan w:val="3"/>
            <w:shd w:val="clear" w:color="auto" w:fill="C6D9F1"/>
            <w:vAlign w:val="center"/>
            <w:hideMark/>
          </w:tcPr>
          <w:p w:rsidR="006E7085" w:rsidRPr="00393E4A" w:rsidRDefault="006E7085" w:rsidP="00004233">
            <w:pPr>
              <w:rPr>
                <w:rFonts w:ascii="Arial" w:eastAsia="Times New Roman" w:hAnsi="Arial" w:cs="Arial"/>
                <w:b/>
                <w:bCs/>
                <w:sz w:val="20"/>
                <w:szCs w:val="20"/>
              </w:rPr>
            </w:pPr>
            <w:r w:rsidRPr="00393E4A">
              <w:rPr>
                <w:rFonts w:ascii="Arial" w:eastAsia="Times New Roman" w:hAnsi="Arial" w:cs="Arial"/>
                <w:b/>
                <w:bCs/>
                <w:sz w:val="20"/>
                <w:szCs w:val="20"/>
              </w:rPr>
              <w:t>FECHA DE ELABORACIÓN DE LA FICHA METODOLÓGICA</w:t>
            </w:r>
          </w:p>
        </w:tc>
        <w:tc>
          <w:tcPr>
            <w:tcW w:w="2547" w:type="pct"/>
            <w:gridSpan w:val="2"/>
            <w:shd w:val="clear" w:color="auto" w:fill="auto"/>
            <w:vAlign w:val="center"/>
            <w:hideMark/>
          </w:tcPr>
          <w:p w:rsidR="006E7085" w:rsidRPr="00393E4A" w:rsidRDefault="00CB10EF" w:rsidP="007235A9">
            <w:pPr>
              <w:jc w:val="both"/>
              <w:rPr>
                <w:rFonts w:ascii="Arial" w:eastAsia="Times New Roman" w:hAnsi="Arial" w:cs="Arial"/>
                <w:color w:val="000000"/>
                <w:sz w:val="20"/>
                <w:szCs w:val="20"/>
              </w:rPr>
            </w:pPr>
            <w:r w:rsidRPr="00393E4A">
              <w:rPr>
                <w:rFonts w:ascii="Arial" w:eastAsia="Times New Roman" w:hAnsi="Arial" w:cs="Arial"/>
                <w:color w:val="000000"/>
                <w:sz w:val="20"/>
                <w:szCs w:val="20"/>
              </w:rPr>
              <w:t>13/10/</w:t>
            </w:r>
            <w:r w:rsidR="006E7085" w:rsidRPr="00393E4A">
              <w:rPr>
                <w:rFonts w:ascii="Arial" w:eastAsia="Times New Roman" w:hAnsi="Arial" w:cs="Arial"/>
                <w:color w:val="000000"/>
                <w:sz w:val="20"/>
                <w:szCs w:val="20"/>
              </w:rPr>
              <w:t>2016</w:t>
            </w:r>
          </w:p>
        </w:tc>
      </w:tr>
      <w:tr w:rsidR="006E7085" w:rsidRPr="00393E4A" w:rsidTr="00F275A8">
        <w:trPr>
          <w:trHeight w:val="440"/>
          <w:tblCellSpacing w:w="20" w:type="dxa"/>
        </w:trPr>
        <w:tc>
          <w:tcPr>
            <w:tcW w:w="2392" w:type="pct"/>
            <w:gridSpan w:val="3"/>
            <w:shd w:val="clear" w:color="auto" w:fill="C6D9F1"/>
            <w:vAlign w:val="center"/>
            <w:hideMark/>
          </w:tcPr>
          <w:p w:rsidR="006E7085" w:rsidRPr="00393E4A" w:rsidRDefault="006E7085" w:rsidP="00004233">
            <w:pPr>
              <w:rPr>
                <w:rFonts w:ascii="Arial" w:eastAsia="Times New Roman" w:hAnsi="Arial" w:cs="Arial"/>
                <w:b/>
                <w:bCs/>
                <w:sz w:val="20"/>
                <w:szCs w:val="20"/>
              </w:rPr>
            </w:pPr>
            <w:r w:rsidRPr="00393E4A">
              <w:rPr>
                <w:rFonts w:ascii="Arial" w:eastAsia="Times New Roman" w:hAnsi="Arial" w:cs="Arial"/>
                <w:b/>
                <w:bCs/>
                <w:sz w:val="20"/>
                <w:szCs w:val="20"/>
              </w:rPr>
              <w:t>FECHA DE LA ÚLTIMA ACTUALIZACIÓN DE LA FICHA</w:t>
            </w:r>
          </w:p>
        </w:tc>
        <w:tc>
          <w:tcPr>
            <w:tcW w:w="2547" w:type="pct"/>
            <w:gridSpan w:val="2"/>
            <w:shd w:val="clear" w:color="auto" w:fill="auto"/>
            <w:vAlign w:val="center"/>
            <w:hideMark/>
          </w:tcPr>
          <w:p w:rsidR="006E7085" w:rsidRPr="00393E4A" w:rsidRDefault="00CB10EF" w:rsidP="007C5558">
            <w:pPr>
              <w:jc w:val="both"/>
              <w:rPr>
                <w:rFonts w:ascii="Arial" w:eastAsia="Times New Roman" w:hAnsi="Arial" w:cs="Arial"/>
                <w:color w:val="000000"/>
                <w:sz w:val="20"/>
                <w:szCs w:val="20"/>
              </w:rPr>
            </w:pPr>
            <w:r w:rsidRPr="00393E4A">
              <w:rPr>
                <w:rFonts w:ascii="Arial" w:eastAsia="Times New Roman" w:hAnsi="Arial" w:cs="Arial"/>
                <w:color w:val="000000"/>
                <w:sz w:val="20"/>
                <w:szCs w:val="20"/>
              </w:rPr>
              <w:t>07/11/2016</w:t>
            </w:r>
          </w:p>
        </w:tc>
      </w:tr>
      <w:tr w:rsidR="006E7085" w:rsidRPr="00393E4A" w:rsidTr="00FF4473">
        <w:trPr>
          <w:trHeight w:val="1260"/>
          <w:tblCellSpacing w:w="20" w:type="dxa"/>
        </w:trPr>
        <w:tc>
          <w:tcPr>
            <w:tcW w:w="2392" w:type="pct"/>
            <w:gridSpan w:val="3"/>
            <w:shd w:val="clear" w:color="auto" w:fill="C6D9F1"/>
            <w:vAlign w:val="center"/>
          </w:tcPr>
          <w:p w:rsidR="006E7085" w:rsidRPr="00393E4A" w:rsidRDefault="006E7085" w:rsidP="00004233">
            <w:pPr>
              <w:rPr>
                <w:rFonts w:ascii="Arial" w:eastAsia="Times New Roman" w:hAnsi="Arial" w:cs="Arial"/>
                <w:b/>
                <w:bCs/>
                <w:sz w:val="20"/>
                <w:szCs w:val="20"/>
              </w:rPr>
            </w:pPr>
            <w:r w:rsidRPr="00393E4A">
              <w:rPr>
                <w:rFonts w:ascii="Arial" w:eastAsia="Times New Roman" w:hAnsi="Arial" w:cs="Arial"/>
                <w:b/>
                <w:bCs/>
                <w:sz w:val="20"/>
                <w:szCs w:val="20"/>
              </w:rPr>
              <w:t>ELABORADO POR</w:t>
            </w:r>
          </w:p>
        </w:tc>
        <w:tc>
          <w:tcPr>
            <w:tcW w:w="2547" w:type="pct"/>
            <w:gridSpan w:val="2"/>
            <w:shd w:val="clear" w:color="auto" w:fill="auto"/>
            <w:vAlign w:val="center"/>
          </w:tcPr>
          <w:p w:rsidR="000F589A" w:rsidRPr="00393E4A" w:rsidRDefault="000F589A" w:rsidP="00F275A8">
            <w:pPr>
              <w:spacing w:after="0" w:line="240" w:lineRule="auto"/>
              <w:jc w:val="both"/>
              <w:rPr>
                <w:rFonts w:ascii="Arial" w:eastAsia="Times New Roman" w:hAnsi="Arial" w:cs="Arial"/>
                <w:color w:val="000000"/>
                <w:sz w:val="20"/>
                <w:szCs w:val="20"/>
              </w:rPr>
            </w:pPr>
            <w:r w:rsidRPr="00393E4A">
              <w:rPr>
                <w:rFonts w:ascii="Arial" w:eastAsia="Times New Roman" w:hAnsi="Arial" w:cs="Arial"/>
                <w:color w:val="000000"/>
                <w:sz w:val="20"/>
                <w:szCs w:val="20"/>
              </w:rPr>
              <w:t>Mesa Temática de Estadísticas Económicas</w:t>
            </w:r>
          </w:p>
          <w:p w:rsidR="00FF4473" w:rsidRPr="00393E4A" w:rsidRDefault="00FF4473" w:rsidP="00F275A8">
            <w:pPr>
              <w:spacing w:after="0" w:line="240" w:lineRule="auto"/>
              <w:jc w:val="both"/>
              <w:rPr>
                <w:rFonts w:ascii="Arial" w:eastAsia="Times New Roman" w:hAnsi="Arial" w:cs="Arial"/>
                <w:color w:val="000000"/>
                <w:sz w:val="20"/>
                <w:szCs w:val="20"/>
              </w:rPr>
            </w:pPr>
          </w:p>
          <w:p w:rsidR="006E7085" w:rsidRPr="00393E4A" w:rsidRDefault="00FF4473" w:rsidP="00F275A8">
            <w:pPr>
              <w:spacing w:after="0" w:line="240" w:lineRule="auto"/>
              <w:jc w:val="both"/>
              <w:rPr>
                <w:rFonts w:ascii="Arial" w:eastAsia="Times New Roman" w:hAnsi="Arial" w:cs="Arial"/>
                <w:color w:val="000000"/>
                <w:sz w:val="20"/>
                <w:szCs w:val="20"/>
              </w:rPr>
            </w:pPr>
            <w:r w:rsidRPr="00393E4A">
              <w:rPr>
                <w:rFonts w:ascii="Arial" w:eastAsia="Times New Roman" w:hAnsi="Arial" w:cs="Arial"/>
                <w:color w:val="000000"/>
                <w:sz w:val="20"/>
                <w:szCs w:val="20"/>
              </w:rPr>
              <w:t xml:space="preserve">Responsable: </w:t>
            </w:r>
            <w:r w:rsidR="000F589A" w:rsidRPr="00393E4A">
              <w:rPr>
                <w:rFonts w:ascii="Arial" w:eastAsia="Times New Roman" w:hAnsi="Arial" w:cs="Arial"/>
                <w:color w:val="000000"/>
                <w:sz w:val="20"/>
                <w:szCs w:val="20"/>
              </w:rPr>
              <w:t>Superintendencia de Bancos</w:t>
            </w:r>
            <w:r w:rsidR="00CB10EF" w:rsidRPr="00393E4A">
              <w:rPr>
                <w:rFonts w:ascii="Arial" w:eastAsia="Times New Roman" w:hAnsi="Arial" w:cs="Arial"/>
                <w:color w:val="000000"/>
                <w:sz w:val="20"/>
                <w:szCs w:val="20"/>
              </w:rPr>
              <w:t xml:space="preserve"> – Dirección Nacional de Estudios e Información</w:t>
            </w:r>
          </w:p>
        </w:tc>
      </w:tr>
      <w:tr w:rsidR="006E7085" w:rsidRPr="00393E4A" w:rsidTr="00F275A8">
        <w:trPr>
          <w:trHeight w:val="542"/>
          <w:tblCellSpacing w:w="20" w:type="dxa"/>
        </w:trPr>
        <w:tc>
          <w:tcPr>
            <w:tcW w:w="2392" w:type="pct"/>
            <w:gridSpan w:val="3"/>
            <w:shd w:val="clear" w:color="auto" w:fill="C6D9F1"/>
            <w:vAlign w:val="center"/>
          </w:tcPr>
          <w:p w:rsidR="006E7085" w:rsidRPr="00393E4A" w:rsidRDefault="006E7085" w:rsidP="00004233">
            <w:pPr>
              <w:rPr>
                <w:rFonts w:ascii="Arial" w:eastAsia="Times New Roman" w:hAnsi="Arial" w:cs="Arial"/>
                <w:b/>
                <w:bCs/>
                <w:sz w:val="20"/>
                <w:szCs w:val="20"/>
              </w:rPr>
            </w:pPr>
            <w:r w:rsidRPr="00393E4A">
              <w:rPr>
                <w:rFonts w:ascii="Arial" w:eastAsia="Times New Roman" w:hAnsi="Arial" w:cs="Arial"/>
                <w:b/>
                <w:bCs/>
                <w:sz w:val="20"/>
                <w:szCs w:val="20"/>
              </w:rPr>
              <w:t>CLASIFICADOR TEMÁTICO ESTADÍSTICO</w:t>
            </w:r>
          </w:p>
        </w:tc>
        <w:tc>
          <w:tcPr>
            <w:tcW w:w="1248" w:type="pct"/>
            <w:shd w:val="clear" w:color="auto" w:fill="auto"/>
            <w:vAlign w:val="center"/>
          </w:tcPr>
          <w:p w:rsidR="006E7085" w:rsidRPr="00393E4A" w:rsidRDefault="00CB10EF" w:rsidP="00602647">
            <w:pPr>
              <w:rPr>
                <w:rFonts w:ascii="Arial" w:eastAsia="Times New Roman" w:hAnsi="Arial" w:cs="Arial"/>
                <w:color w:val="000000"/>
                <w:sz w:val="20"/>
                <w:szCs w:val="20"/>
              </w:rPr>
            </w:pPr>
            <w:r w:rsidRPr="00393E4A">
              <w:rPr>
                <w:rFonts w:ascii="Arial" w:eastAsia="Times New Roman" w:hAnsi="Arial" w:cs="Arial"/>
                <w:color w:val="000000"/>
                <w:sz w:val="20"/>
                <w:szCs w:val="20"/>
              </w:rPr>
              <w:t>2. Estadísticas Económicas</w:t>
            </w:r>
          </w:p>
        </w:tc>
        <w:tc>
          <w:tcPr>
            <w:tcW w:w="1279" w:type="pct"/>
            <w:shd w:val="clear" w:color="auto" w:fill="auto"/>
            <w:vAlign w:val="center"/>
          </w:tcPr>
          <w:p w:rsidR="006E7085" w:rsidRPr="00393E4A" w:rsidRDefault="00CB10EF" w:rsidP="003366DE">
            <w:pPr>
              <w:jc w:val="both"/>
              <w:rPr>
                <w:rFonts w:ascii="Arial" w:eastAsia="Times New Roman" w:hAnsi="Arial" w:cs="Arial"/>
                <w:color w:val="000000"/>
                <w:sz w:val="20"/>
                <w:szCs w:val="20"/>
              </w:rPr>
            </w:pPr>
            <w:r w:rsidRPr="00393E4A">
              <w:rPr>
                <w:rFonts w:ascii="Arial" w:eastAsia="Times New Roman" w:hAnsi="Arial" w:cs="Arial"/>
                <w:color w:val="000000"/>
                <w:sz w:val="20"/>
                <w:szCs w:val="20"/>
              </w:rPr>
              <w:t>2.4.6 Banca, seguros y estadísticas financieras</w:t>
            </w:r>
          </w:p>
        </w:tc>
      </w:tr>
      <w:tr w:rsidR="006E7085" w:rsidRPr="00393E4A" w:rsidTr="004E4B6E">
        <w:trPr>
          <w:trHeight w:val="513"/>
          <w:tblCellSpacing w:w="20" w:type="dxa"/>
        </w:trPr>
        <w:tc>
          <w:tcPr>
            <w:tcW w:w="4959" w:type="pct"/>
            <w:gridSpan w:val="5"/>
            <w:shd w:val="clear" w:color="auto" w:fill="548DD4" w:themeFill="text2" w:themeFillTint="99"/>
            <w:vAlign w:val="center"/>
          </w:tcPr>
          <w:p w:rsidR="006E7085" w:rsidRPr="00393E4A" w:rsidRDefault="006E7085" w:rsidP="000320E4">
            <w:pPr>
              <w:spacing w:after="0"/>
              <w:jc w:val="center"/>
              <w:rPr>
                <w:rFonts w:ascii="Arial" w:eastAsia="Times New Roman" w:hAnsi="Arial" w:cs="Arial"/>
                <w:b/>
                <w:bCs/>
                <w:sz w:val="20"/>
                <w:szCs w:val="20"/>
              </w:rPr>
            </w:pPr>
            <w:r w:rsidRPr="00393E4A">
              <w:rPr>
                <w:rFonts w:ascii="Arial" w:eastAsia="Times New Roman" w:hAnsi="Arial" w:cs="Arial"/>
                <w:b/>
                <w:bCs/>
                <w:sz w:val="20"/>
                <w:szCs w:val="20"/>
              </w:rPr>
              <w:t>ANEXOS</w:t>
            </w:r>
          </w:p>
        </w:tc>
      </w:tr>
      <w:tr w:rsidR="006E7085" w:rsidRPr="00393E4A" w:rsidTr="004E4B6E">
        <w:trPr>
          <w:trHeight w:val="513"/>
          <w:tblCellSpacing w:w="20" w:type="dxa"/>
        </w:trPr>
        <w:tc>
          <w:tcPr>
            <w:tcW w:w="4959" w:type="pct"/>
            <w:gridSpan w:val="5"/>
            <w:shd w:val="clear" w:color="auto" w:fill="548DD4" w:themeFill="text2" w:themeFillTint="99"/>
            <w:vAlign w:val="center"/>
          </w:tcPr>
          <w:p w:rsidR="006E7085" w:rsidRPr="00393E4A" w:rsidRDefault="006E7085" w:rsidP="00E56BBF">
            <w:pPr>
              <w:spacing w:after="0"/>
              <w:jc w:val="center"/>
              <w:rPr>
                <w:rFonts w:ascii="Arial" w:eastAsia="Times New Roman" w:hAnsi="Arial" w:cs="Arial"/>
                <w:b/>
                <w:bCs/>
                <w:sz w:val="20"/>
                <w:szCs w:val="20"/>
              </w:rPr>
            </w:pPr>
            <w:r w:rsidRPr="00393E4A">
              <w:rPr>
                <w:rFonts w:ascii="Arial" w:eastAsia="Times New Roman" w:hAnsi="Arial" w:cs="Arial"/>
                <w:b/>
                <w:bCs/>
                <w:sz w:val="20"/>
                <w:szCs w:val="20"/>
              </w:rPr>
              <w:t>Códigos contables y cuentas del estado de pérdidas y ganancias</w:t>
            </w:r>
          </w:p>
        </w:tc>
      </w:tr>
      <w:tr w:rsidR="006E7085" w:rsidRPr="00393E4A" w:rsidTr="000320E4">
        <w:trPr>
          <w:trHeight w:val="513"/>
          <w:tblCellSpacing w:w="20" w:type="dxa"/>
        </w:trPr>
        <w:tc>
          <w:tcPr>
            <w:tcW w:w="4959" w:type="pct"/>
            <w:gridSpan w:val="5"/>
            <w:shd w:val="clear" w:color="auto" w:fill="C6D9F1"/>
            <w:vAlign w:val="center"/>
            <w:hideMark/>
          </w:tcPr>
          <w:p w:rsidR="006E7085" w:rsidRPr="00393E4A" w:rsidRDefault="006E7085" w:rsidP="002C5277">
            <w:pPr>
              <w:spacing w:after="0"/>
              <w:jc w:val="center"/>
              <w:rPr>
                <w:rFonts w:ascii="Arial" w:hAnsi="Arial" w:cs="Arial"/>
                <w:sz w:val="20"/>
                <w:szCs w:val="20"/>
              </w:rPr>
            </w:pPr>
            <w:r w:rsidRPr="00393E4A">
              <w:rPr>
                <w:rFonts w:ascii="Arial" w:eastAsia="Times New Roman" w:hAnsi="Arial" w:cs="Arial"/>
                <w:b/>
                <w:bCs/>
                <w:sz w:val="20"/>
                <w:szCs w:val="20"/>
              </w:rPr>
              <w:t xml:space="preserve">SINTAXIS: </w:t>
            </w:r>
          </w:p>
        </w:tc>
      </w:tr>
      <w:tr w:rsidR="006E7085" w:rsidRPr="00393E4A" w:rsidTr="008F530F">
        <w:trPr>
          <w:trHeight w:val="513"/>
          <w:tblCellSpacing w:w="20" w:type="dxa"/>
        </w:trPr>
        <w:tc>
          <w:tcPr>
            <w:tcW w:w="4959" w:type="pct"/>
            <w:gridSpan w:val="5"/>
            <w:tcBorders>
              <w:top w:val="outset" w:sz="6" w:space="0" w:color="auto"/>
              <w:bottom w:val="outset" w:sz="6" w:space="0" w:color="auto"/>
            </w:tcBorders>
            <w:shd w:val="clear" w:color="auto" w:fill="FFFFFF"/>
            <w:vAlign w:val="center"/>
          </w:tcPr>
          <w:p w:rsidR="006E7085" w:rsidRPr="00393E4A" w:rsidRDefault="006E7085" w:rsidP="00C26D32">
            <w:pPr>
              <w:spacing w:after="0"/>
              <w:rPr>
                <w:rFonts w:ascii="Arial" w:eastAsia="Times New Roman" w:hAnsi="Arial" w:cs="Arial"/>
                <w:sz w:val="20"/>
                <w:szCs w:val="20"/>
              </w:rPr>
            </w:pPr>
            <w:r w:rsidRPr="00393E4A">
              <w:rPr>
                <w:rFonts w:ascii="Arial" w:hAnsi="Arial" w:cs="Arial"/>
                <w:color w:val="000000"/>
                <w:sz w:val="20"/>
                <w:szCs w:val="20"/>
              </w:rPr>
              <w:lastRenderedPageBreak/>
              <w:t xml:space="preserve">  </w:t>
            </w:r>
            <w:r w:rsidRPr="00393E4A">
              <w:rPr>
                <w:rFonts w:ascii="Arial" w:eastAsia="Times New Roman" w:hAnsi="Arial" w:cs="Arial"/>
                <w:sz w:val="20"/>
                <w:szCs w:val="20"/>
              </w:rPr>
              <w:t xml:space="preserve"> </w:t>
            </w:r>
          </w:p>
        </w:tc>
      </w:tr>
    </w:tbl>
    <w:p w:rsidR="00CB10EF" w:rsidRPr="00966966" w:rsidRDefault="000F589A" w:rsidP="00F275A8">
      <w:pPr>
        <w:spacing w:after="0" w:line="240" w:lineRule="auto"/>
        <w:jc w:val="center"/>
        <w:rPr>
          <w:rFonts w:asciiTheme="minorHAnsi" w:hAnsiTheme="minorHAnsi" w:cs="Arial"/>
          <w:b/>
          <w:sz w:val="20"/>
          <w:szCs w:val="20"/>
          <w:lang w:val="es-ES"/>
        </w:rPr>
      </w:pPr>
      <w:r w:rsidRPr="00966966">
        <w:rPr>
          <w:rFonts w:asciiTheme="minorHAnsi" w:hAnsiTheme="minorHAnsi" w:cs="Arial"/>
          <w:sz w:val="20"/>
          <w:szCs w:val="20"/>
          <w:lang w:val="es-ES"/>
        </w:rPr>
        <w:br w:type="page"/>
      </w:r>
      <w:r w:rsidR="00CB10EF" w:rsidRPr="00966966">
        <w:rPr>
          <w:rFonts w:asciiTheme="minorHAnsi" w:hAnsiTheme="minorHAnsi" w:cs="Arial"/>
          <w:b/>
          <w:sz w:val="20"/>
          <w:szCs w:val="20"/>
          <w:lang w:val="es-ES"/>
        </w:rPr>
        <w:lastRenderedPageBreak/>
        <w:t>ANEXO 1</w:t>
      </w:r>
    </w:p>
    <w:p w:rsidR="00D055E1" w:rsidRPr="00966966" w:rsidRDefault="00CB10EF" w:rsidP="00CB10EF">
      <w:pPr>
        <w:jc w:val="center"/>
        <w:rPr>
          <w:rFonts w:asciiTheme="minorHAnsi" w:hAnsiTheme="minorHAnsi" w:cs="Arial"/>
          <w:sz w:val="20"/>
          <w:szCs w:val="20"/>
          <w:lang w:val="es-ES"/>
        </w:rPr>
      </w:pPr>
      <w:r w:rsidRPr="00966966">
        <w:rPr>
          <w:rFonts w:asciiTheme="minorHAnsi" w:eastAsia="Times New Roman" w:hAnsiTheme="minorHAnsi" w:cs="Arial"/>
          <w:b/>
          <w:bCs/>
          <w:sz w:val="20"/>
          <w:szCs w:val="20"/>
        </w:rPr>
        <w:t>Códigos contables y cuentas del estado de pérdidas y ganancias</w:t>
      </w:r>
    </w:p>
    <w:tbl>
      <w:tblPr>
        <w:tblW w:w="10112" w:type="dxa"/>
        <w:tblInd w:w="70" w:type="dxa"/>
        <w:tblCellMar>
          <w:left w:w="70" w:type="dxa"/>
          <w:right w:w="70" w:type="dxa"/>
        </w:tblCellMar>
        <w:tblLook w:val="04A0" w:firstRow="1" w:lastRow="0" w:firstColumn="1" w:lastColumn="0" w:noHBand="0" w:noVBand="1"/>
      </w:tblPr>
      <w:tblGrid>
        <w:gridCol w:w="9288"/>
        <w:gridCol w:w="4696"/>
      </w:tblGrid>
      <w:tr w:rsidR="005F2030" w:rsidRPr="00966966" w:rsidTr="005F2030">
        <w:trPr>
          <w:trHeight w:val="255"/>
        </w:trPr>
        <w:tc>
          <w:tcPr>
            <w:tcW w:w="5416" w:type="dxa"/>
            <w:tcBorders>
              <w:top w:val="nil"/>
              <w:left w:val="nil"/>
              <w:bottom w:val="nil"/>
              <w:right w:val="nil"/>
            </w:tcBorders>
            <w:shd w:val="clear" w:color="auto" w:fill="auto"/>
            <w:noWrap/>
            <w:vAlign w:val="bottom"/>
          </w:tcPr>
          <w:tbl>
            <w:tblPr>
              <w:tblW w:w="9148" w:type="dxa"/>
              <w:tblCellMar>
                <w:left w:w="70" w:type="dxa"/>
                <w:right w:w="70" w:type="dxa"/>
              </w:tblCellMar>
              <w:tblLook w:val="04A0" w:firstRow="1" w:lastRow="0" w:firstColumn="1" w:lastColumn="0" w:noHBand="0" w:noVBand="1"/>
            </w:tblPr>
            <w:tblGrid>
              <w:gridCol w:w="4861"/>
              <w:gridCol w:w="4287"/>
            </w:tblGrid>
            <w:tr w:rsidR="005F2030" w:rsidRPr="00966966" w:rsidTr="00CB10EF">
              <w:trPr>
                <w:trHeight w:val="264"/>
              </w:trPr>
              <w:tc>
                <w:tcPr>
                  <w:tcW w:w="9148" w:type="dxa"/>
                  <w:gridSpan w:val="2"/>
                  <w:tcBorders>
                    <w:top w:val="nil"/>
                    <w:left w:val="nil"/>
                    <w:bottom w:val="nil"/>
                    <w:right w:val="nil"/>
                  </w:tcBorders>
                  <w:shd w:val="clear" w:color="auto" w:fill="auto"/>
                  <w:noWrap/>
                  <w:vAlign w:val="bottom"/>
                  <w:hideMark/>
                </w:tcPr>
                <w:p w:rsidR="005F2030" w:rsidRPr="00966966" w:rsidRDefault="005F2030" w:rsidP="005F2030">
                  <w:pPr>
                    <w:spacing w:after="0" w:line="240" w:lineRule="auto"/>
                    <w:jc w:val="center"/>
                    <w:rPr>
                      <w:rFonts w:asciiTheme="minorHAnsi" w:eastAsia="Times New Roman" w:hAnsiTheme="minorHAnsi" w:cs="Arial"/>
                      <w:b/>
                      <w:bCs/>
                      <w:sz w:val="20"/>
                      <w:szCs w:val="20"/>
                    </w:rPr>
                  </w:pPr>
                  <w:r w:rsidRPr="00966966">
                    <w:rPr>
                      <w:rFonts w:asciiTheme="minorHAnsi" w:eastAsia="Times New Roman" w:hAnsiTheme="minorHAnsi" w:cs="Arial"/>
                      <w:b/>
                      <w:bCs/>
                      <w:sz w:val="20"/>
                      <w:szCs w:val="20"/>
                    </w:rPr>
                    <w:t>Estado de Pérdidas y Ganancias</w:t>
                  </w: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jc w:val="right"/>
                    <w:rPr>
                      <w:rFonts w:asciiTheme="minorHAnsi" w:eastAsia="Times New Roman" w:hAnsiTheme="minorHAnsi" w:cs="Arial"/>
                      <w:sz w:val="20"/>
                      <w:szCs w:val="20"/>
                    </w:rPr>
                  </w:pPr>
                  <w:r w:rsidRPr="00966966">
                    <w:rPr>
                      <w:rFonts w:asciiTheme="minorHAnsi" w:eastAsia="Times New Roman" w:hAnsiTheme="minorHAnsi" w:cs="Arial"/>
                      <w:sz w:val="20"/>
                      <w:szCs w:val="20"/>
                    </w:rPr>
                    <w:t>5</w:t>
                  </w: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TOTAL INGRESOS</w:t>
                  </w: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jc w:val="right"/>
                    <w:rPr>
                      <w:rFonts w:asciiTheme="minorHAnsi" w:eastAsia="Times New Roman" w:hAnsiTheme="minorHAnsi" w:cs="Arial"/>
                      <w:sz w:val="20"/>
                      <w:szCs w:val="20"/>
                    </w:rPr>
                  </w:pPr>
                  <w:r w:rsidRPr="00966966">
                    <w:rPr>
                      <w:rFonts w:asciiTheme="minorHAnsi" w:eastAsia="Times New Roman" w:hAnsiTheme="minorHAnsi" w:cs="Arial"/>
                      <w:sz w:val="20"/>
                      <w:szCs w:val="20"/>
                    </w:rPr>
                    <w:t>51</w:t>
                  </w: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INTERESES Y DESCUENTOS GANADOS</w:t>
                  </w: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jc w:val="right"/>
                    <w:rPr>
                      <w:rFonts w:asciiTheme="minorHAnsi" w:eastAsia="Times New Roman" w:hAnsiTheme="minorHAnsi" w:cs="Arial"/>
                      <w:sz w:val="20"/>
                      <w:szCs w:val="20"/>
                    </w:rPr>
                  </w:pPr>
                  <w:r w:rsidRPr="00966966">
                    <w:rPr>
                      <w:rFonts w:asciiTheme="minorHAnsi" w:eastAsia="Times New Roman" w:hAnsiTheme="minorHAnsi" w:cs="Arial"/>
                      <w:sz w:val="20"/>
                      <w:szCs w:val="20"/>
                    </w:rPr>
                    <w:t>41</w:t>
                  </w:r>
                </w:p>
              </w:tc>
              <w:tc>
                <w:tcPr>
                  <w:tcW w:w="4287" w:type="dxa"/>
                  <w:tcBorders>
                    <w:top w:val="nil"/>
                    <w:left w:val="nil"/>
                    <w:bottom w:val="single" w:sz="4" w:space="0" w:color="auto"/>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INTERESES CAUSADOS</w:t>
                  </w: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=+ 51- 41</w:t>
                  </w: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MARGEN NETO INTERESES</w:t>
                  </w: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jc w:val="right"/>
                    <w:rPr>
                      <w:rFonts w:asciiTheme="minorHAnsi" w:eastAsia="Times New Roman" w:hAnsiTheme="minorHAnsi" w:cs="Arial"/>
                      <w:sz w:val="20"/>
                      <w:szCs w:val="20"/>
                    </w:rPr>
                  </w:pPr>
                  <w:r w:rsidRPr="00966966">
                    <w:rPr>
                      <w:rFonts w:asciiTheme="minorHAnsi" w:eastAsia="Times New Roman" w:hAnsiTheme="minorHAnsi" w:cs="Arial"/>
                      <w:sz w:val="20"/>
                      <w:szCs w:val="20"/>
                    </w:rPr>
                    <w:t>52</w:t>
                  </w: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COMISIONES GANADAS</w:t>
                  </w: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jc w:val="right"/>
                    <w:rPr>
                      <w:rFonts w:asciiTheme="minorHAnsi" w:eastAsia="Times New Roman" w:hAnsiTheme="minorHAnsi" w:cs="Arial"/>
                      <w:sz w:val="20"/>
                      <w:szCs w:val="20"/>
                    </w:rPr>
                  </w:pPr>
                  <w:r w:rsidRPr="00966966">
                    <w:rPr>
                      <w:rFonts w:asciiTheme="minorHAnsi" w:eastAsia="Times New Roman" w:hAnsiTheme="minorHAnsi" w:cs="Arial"/>
                      <w:sz w:val="20"/>
                      <w:szCs w:val="20"/>
                    </w:rPr>
                    <w:t>54</w:t>
                  </w: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INGRESOS POR SERVICIOS</w:t>
                  </w: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jc w:val="right"/>
                    <w:rPr>
                      <w:rFonts w:asciiTheme="minorHAnsi" w:eastAsia="Times New Roman" w:hAnsiTheme="minorHAnsi" w:cs="Arial"/>
                      <w:sz w:val="20"/>
                      <w:szCs w:val="20"/>
                    </w:rPr>
                  </w:pPr>
                  <w:r w:rsidRPr="00966966">
                    <w:rPr>
                      <w:rFonts w:asciiTheme="minorHAnsi" w:eastAsia="Times New Roman" w:hAnsiTheme="minorHAnsi" w:cs="Arial"/>
                      <w:sz w:val="20"/>
                      <w:szCs w:val="20"/>
                    </w:rPr>
                    <w:t>42</w:t>
                  </w: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COMISIONES CAUSADAS</w:t>
                  </w: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jc w:val="right"/>
                    <w:rPr>
                      <w:rFonts w:asciiTheme="minorHAnsi" w:eastAsia="Times New Roman" w:hAnsiTheme="minorHAnsi" w:cs="Arial"/>
                      <w:sz w:val="20"/>
                      <w:szCs w:val="20"/>
                    </w:rPr>
                  </w:pPr>
                  <w:r w:rsidRPr="00966966">
                    <w:rPr>
                      <w:rFonts w:asciiTheme="minorHAnsi" w:eastAsia="Times New Roman" w:hAnsiTheme="minorHAnsi" w:cs="Arial"/>
                      <w:sz w:val="20"/>
                      <w:szCs w:val="20"/>
                    </w:rPr>
                    <w:t>53</w:t>
                  </w: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UTILIDADES FINANCIERAS</w:t>
                  </w: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jc w:val="right"/>
                    <w:rPr>
                      <w:rFonts w:asciiTheme="minorHAnsi" w:eastAsia="Times New Roman" w:hAnsiTheme="minorHAnsi" w:cs="Arial"/>
                      <w:sz w:val="20"/>
                      <w:szCs w:val="20"/>
                    </w:rPr>
                  </w:pPr>
                  <w:r w:rsidRPr="00966966">
                    <w:rPr>
                      <w:rFonts w:asciiTheme="minorHAnsi" w:eastAsia="Times New Roman" w:hAnsiTheme="minorHAnsi" w:cs="Arial"/>
                      <w:sz w:val="20"/>
                      <w:szCs w:val="20"/>
                    </w:rPr>
                    <w:t>43</w:t>
                  </w:r>
                </w:p>
              </w:tc>
              <w:tc>
                <w:tcPr>
                  <w:tcW w:w="4287" w:type="dxa"/>
                  <w:tcBorders>
                    <w:top w:val="nil"/>
                    <w:left w:val="nil"/>
                    <w:bottom w:val="single" w:sz="4" w:space="0" w:color="auto"/>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PÉRDIDAS FINANCIERAS</w:t>
                  </w: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=+ 51- 41+ 52+ 54- 42+ 53- 43</w:t>
                  </w: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MARGEN BRUTO FINANCIERO</w:t>
                  </w: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jc w:val="right"/>
                    <w:rPr>
                      <w:rFonts w:asciiTheme="minorHAnsi" w:eastAsia="Times New Roman" w:hAnsiTheme="minorHAnsi" w:cs="Arial"/>
                      <w:sz w:val="20"/>
                      <w:szCs w:val="20"/>
                    </w:rPr>
                  </w:pPr>
                  <w:r w:rsidRPr="00966966">
                    <w:rPr>
                      <w:rFonts w:asciiTheme="minorHAnsi" w:eastAsia="Times New Roman" w:hAnsiTheme="minorHAnsi" w:cs="Arial"/>
                      <w:sz w:val="20"/>
                      <w:szCs w:val="20"/>
                    </w:rPr>
                    <w:t>44</w:t>
                  </w:r>
                </w:p>
              </w:tc>
              <w:tc>
                <w:tcPr>
                  <w:tcW w:w="4287" w:type="dxa"/>
                  <w:tcBorders>
                    <w:top w:val="nil"/>
                    <w:left w:val="nil"/>
                    <w:bottom w:val="single" w:sz="4" w:space="0" w:color="auto"/>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PROVISIONES</w:t>
                  </w: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=+ 51- 41+ 52+ 54- 42+ 53- 43- 44</w:t>
                  </w: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MARGEN NETO FINANCIERO</w:t>
                  </w: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jc w:val="right"/>
                    <w:rPr>
                      <w:rFonts w:asciiTheme="minorHAnsi" w:eastAsia="Times New Roman" w:hAnsiTheme="minorHAnsi" w:cs="Arial"/>
                      <w:sz w:val="20"/>
                      <w:szCs w:val="20"/>
                    </w:rPr>
                  </w:pPr>
                  <w:r w:rsidRPr="00966966">
                    <w:rPr>
                      <w:rFonts w:asciiTheme="minorHAnsi" w:eastAsia="Times New Roman" w:hAnsiTheme="minorHAnsi" w:cs="Arial"/>
                      <w:sz w:val="20"/>
                      <w:szCs w:val="20"/>
                    </w:rPr>
                    <w:t>45</w:t>
                  </w: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GASTOS DE OPERACIÓN</w:t>
                  </w: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=+ 51- 41+ 52+ 54- 42+ 53- 43- 44- 45</w:t>
                  </w:r>
                </w:p>
              </w:tc>
              <w:tc>
                <w:tcPr>
                  <w:tcW w:w="4287" w:type="dxa"/>
                  <w:tcBorders>
                    <w:top w:val="nil"/>
                    <w:left w:val="nil"/>
                    <w:bottom w:val="single" w:sz="4" w:space="0" w:color="auto"/>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MARGEN DE INTERMEDIACIÓN</w:t>
                  </w: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jc w:val="right"/>
                    <w:rPr>
                      <w:rFonts w:asciiTheme="minorHAnsi" w:eastAsia="Times New Roman" w:hAnsiTheme="minorHAnsi" w:cs="Arial"/>
                      <w:sz w:val="20"/>
                      <w:szCs w:val="20"/>
                    </w:rPr>
                  </w:pPr>
                  <w:r w:rsidRPr="00966966">
                    <w:rPr>
                      <w:rFonts w:asciiTheme="minorHAnsi" w:eastAsia="Times New Roman" w:hAnsiTheme="minorHAnsi" w:cs="Arial"/>
                      <w:sz w:val="20"/>
                      <w:szCs w:val="20"/>
                    </w:rPr>
                    <w:t>55</w:t>
                  </w: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OTROS INGRESOS OPERACIONALES</w:t>
                  </w: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jc w:val="right"/>
                    <w:rPr>
                      <w:rFonts w:asciiTheme="minorHAnsi" w:eastAsia="Times New Roman" w:hAnsiTheme="minorHAnsi" w:cs="Arial"/>
                      <w:sz w:val="20"/>
                      <w:szCs w:val="20"/>
                    </w:rPr>
                  </w:pPr>
                  <w:r w:rsidRPr="00966966">
                    <w:rPr>
                      <w:rFonts w:asciiTheme="minorHAnsi" w:eastAsia="Times New Roman" w:hAnsiTheme="minorHAnsi" w:cs="Arial"/>
                      <w:sz w:val="20"/>
                      <w:szCs w:val="20"/>
                    </w:rPr>
                    <w:t>46</w:t>
                  </w:r>
                </w:p>
              </w:tc>
              <w:tc>
                <w:tcPr>
                  <w:tcW w:w="4287" w:type="dxa"/>
                  <w:tcBorders>
                    <w:top w:val="nil"/>
                    <w:left w:val="nil"/>
                    <w:bottom w:val="single" w:sz="4" w:space="0" w:color="auto"/>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OTRAS PÉRDIDAS OPERACIONALES</w:t>
                  </w: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=+ 51- 41+ 52+ 54- 42+ 53- 43- 44- 45+ 55- 46</w:t>
                  </w: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MARGEN OPERACIONAL</w:t>
                  </w: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jc w:val="right"/>
                    <w:rPr>
                      <w:rFonts w:asciiTheme="minorHAnsi" w:eastAsia="Times New Roman" w:hAnsiTheme="minorHAnsi" w:cs="Arial"/>
                      <w:sz w:val="20"/>
                      <w:szCs w:val="20"/>
                    </w:rPr>
                  </w:pPr>
                  <w:r w:rsidRPr="00966966">
                    <w:rPr>
                      <w:rFonts w:asciiTheme="minorHAnsi" w:eastAsia="Times New Roman" w:hAnsiTheme="minorHAnsi" w:cs="Arial"/>
                      <w:sz w:val="20"/>
                      <w:szCs w:val="20"/>
                    </w:rPr>
                    <w:t>56</w:t>
                  </w: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OTROS INGRESOS</w:t>
                  </w: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jc w:val="right"/>
                    <w:rPr>
                      <w:rFonts w:asciiTheme="minorHAnsi" w:eastAsia="Times New Roman" w:hAnsiTheme="minorHAnsi" w:cs="Arial"/>
                      <w:sz w:val="20"/>
                      <w:szCs w:val="20"/>
                    </w:rPr>
                  </w:pPr>
                  <w:r w:rsidRPr="00966966">
                    <w:rPr>
                      <w:rFonts w:asciiTheme="minorHAnsi" w:eastAsia="Times New Roman" w:hAnsiTheme="minorHAnsi" w:cs="Arial"/>
                      <w:sz w:val="20"/>
                      <w:szCs w:val="20"/>
                    </w:rPr>
                    <w:t>47</w:t>
                  </w:r>
                </w:p>
              </w:tc>
              <w:tc>
                <w:tcPr>
                  <w:tcW w:w="4287" w:type="dxa"/>
                  <w:tcBorders>
                    <w:top w:val="nil"/>
                    <w:left w:val="nil"/>
                    <w:bottom w:val="single" w:sz="4" w:space="0" w:color="auto"/>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OTROS GASTOS Y PÉRDIDAS</w:t>
                  </w: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=+ 51- 41+ 52+ 54- 42+ 53- 43- 44- 45+ 55- 46+ 56- 47</w:t>
                  </w: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GANANCIA O (PÉRDIDA) ANTES DE IMPUESTOS</w:t>
                  </w: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jc w:val="right"/>
                    <w:rPr>
                      <w:rFonts w:asciiTheme="minorHAnsi" w:eastAsia="Times New Roman" w:hAnsiTheme="minorHAnsi" w:cs="Arial"/>
                      <w:sz w:val="20"/>
                      <w:szCs w:val="20"/>
                    </w:rPr>
                  </w:pPr>
                  <w:r w:rsidRPr="00966966">
                    <w:rPr>
                      <w:rFonts w:asciiTheme="minorHAnsi" w:eastAsia="Times New Roman" w:hAnsiTheme="minorHAnsi" w:cs="Arial"/>
                      <w:sz w:val="20"/>
                      <w:szCs w:val="20"/>
                    </w:rPr>
                    <w:t>48</w:t>
                  </w: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IMPUESTOS Y PARTICIPACION A EMPLEADOS</w:t>
                  </w: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p>
              </w:tc>
            </w:tr>
            <w:tr w:rsidR="005F2030" w:rsidRPr="00966966" w:rsidTr="00CB10EF">
              <w:trPr>
                <w:trHeight w:val="264"/>
              </w:trPr>
              <w:tc>
                <w:tcPr>
                  <w:tcW w:w="4861"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=+ 51- 41+ 52+ 54- 42+ 53- 43- 44- 45+ 55- 46+ 56- 47- 48</w:t>
                  </w:r>
                </w:p>
              </w:tc>
              <w:tc>
                <w:tcPr>
                  <w:tcW w:w="4287" w:type="dxa"/>
                  <w:tcBorders>
                    <w:top w:val="nil"/>
                    <w:left w:val="nil"/>
                    <w:bottom w:val="nil"/>
                    <w:right w:val="nil"/>
                  </w:tcBorders>
                  <w:shd w:val="clear" w:color="auto" w:fill="auto"/>
                  <w:noWrap/>
                  <w:vAlign w:val="bottom"/>
                  <w:hideMark/>
                </w:tcPr>
                <w:p w:rsidR="005F2030" w:rsidRPr="00966966" w:rsidRDefault="005F2030" w:rsidP="005F2030">
                  <w:pPr>
                    <w:spacing w:after="0" w:line="240" w:lineRule="auto"/>
                    <w:rPr>
                      <w:rFonts w:asciiTheme="minorHAnsi" w:eastAsia="Times New Roman" w:hAnsiTheme="minorHAnsi" w:cs="Arial"/>
                      <w:sz w:val="20"/>
                      <w:szCs w:val="20"/>
                    </w:rPr>
                  </w:pPr>
                  <w:r w:rsidRPr="00966966">
                    <w:rPr>
                      <w:rFonts w:asciiTheme="minorHAnsi" w:eastAsia="Times New Roman" w:hAnsiTheme="minorHAnsi" w:cs="Arial"/>
                      <w:sz w:val="20"/>
                      <w:szCs w:val="20"/>
                    </w:rPr>
                    <w:t>GANANCIA O (PÉRDIDA) DEL EJERCICIO</w:t>
                  </w:r>
                </w:p>
              </w:tc>
            </w:tr>
          </w:tbl>
          <w:p w:rsidR="005F2030" w:rsidRPr="00966966" w:rsidRDefault="005F2030" w:rsidP="005F2030">
            <w:pPr>
              <w:spacing w:after="0" w:line="240" w:lineRule="auto"/>
              <w:rPr>
                <w:rFonts w:asciiTheme="minorHAnsi" w:eastAsia="Times New Roman" w:hAnsiTheme="minorHAnsi" w:cs="Arial"/>
                <w:sz w:val="20"/>
                <w:szCs w:val="20"/>
              </w:rPr>
            </w:pPr>
          </w:p>
        </w:tc>
        <w:tc>
          <w:tcPr>
            <w:tcW w:w="4696" w:type="dxa"/>
            <w:tcBorders>
              <w:top w:val="nil"/>
              <w:left w:val="nil"/>
              <w:bottom w:val="nil"/>
              <w:right w:val="nil"/>
            </w:tcBorders>
            <w:shd w:val="clear" w:color="auto" w:fill="auto"/>
            <w:noWrap/>
            <w:vAlign w:val="bottom"/>
          </w:tcPr>
          <w:p w:rsidR="005F2030" w:rsidRPr="00966966" w:rsidRDefault="005F2030" w:rsidP="005F2030">
            <w:pPr>
              <w:spacing w:after="0" w:line="240" w:lineRule="auto"/>
              <w:rPr>
                <w:rFonts w:asciiTheme="minorHAnsi" w:eastAsia="Times New Roman" w:hAnsiTheme="minorHAnsi" w:cs="Arial"/>
                <w:sz w:val="20"/>
                <w:szCs w:val="20"/>
              </w:rPr>
            </w:pPr>
          </w:p>
        </w:tc>
      </w:tr>
      <w:tr w:rsidR="005F2030" w:rsidRPr="00966966" w:rsidTr="005F2030">
        <w:trPr>
          <w:trHeight w:val="255"/>
        </w:trPr>
        <w:tc>
          <w:tcPr>
            <w:tcW w:w="5416" w:type="dxa"/>
            <w:tcBorders>
              <w:top w:val="nil"/>
              <w:left w:val="nil"/>
              <w:bottom w:val="nil"/>
              <w:right w:val="nil"/>
            </w:tcBorders>
            <w:shd w:val="clear" w:color="auto" w:fill="auto"/>
            <w:noWrap/>
            <w:vAlign w:val="bottom"/>
          </w:tcPr>
          <w:p w:rsidR="005F2030" w:rsidRPr="00966966" w:rsidRDefault="005F2030" w:rsidP="005F2030">
            <w:pPr>
              <w:spacing w:after="0" w:line="240" w:lineRule="auto"/>
              <w:rPr>
                <w:rFonts w:asciiTheme="minorHAnsi" w:eastAsia="Times New Roman" w:hAnsiTheme="minorHAnsi" w:cs="Arial"/>
                <w:sz w:val="20"/>
                <w:szCs w:val="20"/>
              </w:rPr>
            </w:pPr>
          </w:p>
        </w:tc>
        <w:tc>
          <w:tcPr>
            <w:tcW w:w="4696" w:type="dxa"/>
            <w:tcBorders>
              <w:top w:val="nil"/>
              <w:left w:val="nil"/>
              <w:bottom w:val="nil"/>
              <w:right w:val="nil"/>
            </w:tcBorders>
            <w:shd w:val="clear" w:color="auto" w:fill="auto"/>
            <w:noWrap/>
            <w:vAlign w:val="bottom"/>
          </w:tcPr>
          <w:p w:rsidR="005F2030" w:rsidRPr="00966966" w:rsidRDefault="005F2030" w:rsidP="005F2030">
            <w:pPr>
              <w:spacing w:after="0" w:line="240" w:lineRule="auto"/>
              <w:rPr>
                <w:rFonts w:asciiTheme="minorHAnsi" w:eastAsia="Times New Roman" w:hAnsiTheme="minorHAnsi" w:cs="Arial"/>
                <w:sz w:val="20"/>
                <w:szCs w:val="20"/>
              </w:rPr>
            </w:pPr>
          </w:p>
        </w:tc>
      </w:tr>
      <w:tr w:rsidR="005F2030" w:rsidRPr="00966966" w:rsidTr="005F2030">
        <w:trPr>
          <w:trHeight w:val="255"/>
        </w:trPr>
        <w:tc>
          <w:tcPr>
            <w:tcW w:w="5416" w:type="dxa"/>
            <w:tcBorders>
              <w:top w:val="nil"/>
              <w:left w:val="nil"/>
              <w:bottom w:val="nil"/>
              <w:right w:val="nil"/>
            </w:tcBorders>
            <w:shd w:val="clear" w:color="auto" w:fill="auto"/>
            <w:noWrap/>
            <w:vAlign w:val="bottom"/>
          </w:tcPr>
          <w:p w:rsidR="005F2030" w:rsidRPr="00966966" w:rsidRDefault="005F2030" w:rsidP="005F2030">
            <w:pPr>
              <w:spacing w:after="0" w:line="240" w:lineRule="auto"/>
              <w:jc w:val="right"/>
              <w:rPr>
                <w:rFonts w:asciiTheme="minorHAnsi" w:eastAsia="Times New Roman" w:hAnsiTheme="minorHAnsi" w:cs="Arial"/>
                <w:sz w:val="20"/>
                <w:szCs w:val="20"/>
              </w:rPr>
            </w:pPr>
          </w:p>
        </w:tc>
        <w:tc>
          <w:tcPr>
            <w:tcW w:w="4696" w:type="dxa"/>
            <w:tcBorders>
              <w:top w:val="nil"/>
              <w:left w:val="nil"/>
              <w:bottom w:val="nil"/>
              <w:right w:val="nil"/>
            </w:tcBorders>
            <w:shd w:val="clear" w:color="auto" w:fill="auto"/>
            <w:noWrap/>
            <w:vAlign w:val="bottom"/>
          </w:tcPr>
          <w:p w:rsidR="005F2030" w:rsidRPr="00966966" w:rsidRDefault="005F2030" w:rsidP="005F2030">
            <w:pPr>
              <w:spacing w:after="0" w:line="240" w:lineRule="auto"/>
              <w:rPr>
                <w:rFonts w:asciiTheme="minorHAnsi" w:eastAsia="Times New Roman" w:hAnsiTheme="minorHAnsi" w:cs="Arial"/>
                <w:sz w:val="20"/>
                <w:szCs w:val="20"/>
              </w:rPr>
            </w:pPr>
          </w:p>
        </w:tc>
      </w:tr>
      <w:tr w:rsidR="005F2030" w:rsidRPr="00966966" w:rsidTr="005F2030">
        <w:trPr>
          <w:trHeight w:val="255"/>
        </w:trPr>
        <w:tc>
          <w:tcPr>
            <w:tcW w:w="5416" w:type="dxa"/>
            <w:tcBorders>
              <w:top w:val="nil"/>
              <w:left w:val="nil"/>
              <w:bottom w:val="nil"/>
              <w:right w:val="nil"/>
            </w:tcBorders>
            <w:shd w:val="clear" w:color="auto" w:fill="auto"/>
            <w:noWrap/>
            <w:vAlign w:val="bottom"/>
          </w:tcPr>
          <w:p w:rsidR="005F2030" w:rsidRPr="00966966" w:rsidRDefault="005F2030" w:rsidP="005F2030">
            <w:pPr>
              <w:spacing w:after="0" w:line="240" w:lineRule="auto"/>
              <w:rPr>
                <w:rFonts w:asciiTheme="minorHAnsi" w:eastAsia="Times New Roman" w:hAnsiTheme="minorHAnsi" w:cs="Arial"/>
                <w:sz w:val="20"/>
                <w:szCs w:val="20"/>
              </w:rPr>
            </w:pPr>
          </w:p>
        </w:tc>
        <w:tc>
          <w:tcPr>
            <w:tcW w:w="4696" w:type="dxa"/>
            <w:tcBorders>
              <w:top w:val="nil"/>
              <w:left w:val="nil"/>
              <w:bottom w:val="nil"/>
              <w:right w:val="nil"/>
            </w:tcBorders>
            <w:shd w:val="clear" w:color="auto" w:fill="auto"/>
            <w:noWrap/>
            <w:vAlign w:val="bottom"/>
          </w:tcPr>
          <w:p w:rsidR="005F2030" w:rsidRPr="00966966" w:rsidRDefault="005F2030" w:rsidP="005F2030">
            <w:pPr>
              <w:spacing w:after="0" w:line="240" w:lineRule="auto"/>
              <w:rPr>
                <w:rFonts w:asciiTheme="minorHAnsi" w:eastAsia="Times New Roman" w:hAnsiTheme="minorHAnsi" w:cs="Arial"/>
                <w:sz w:val="20"/>
                <w:szCs w:val="20"/>
              </w:rPr>
            </w:pPr>
          </w:p>
        </w:tc>
      </w:tr>
      <w:tr w:rsidR="005F2030" w:rsidRPr="00966966" w:rsidTr="005F2030">
        <w:trPr>
          <w:trHeight w:val="255"/>
        </w:trPr>
        <w:tc>
          <w:tcPr>
            <w:tcW w:w="5416" w:type="dxa"/>
            <w:tcBorders>
              <w:top w:val="nil"/>
              <w:left w:val="nil"/>
              <w:bottom w:val="nil"/>
              <w:right w:val="nil"/>
            </w:tcBorders>
            <w:shd w:val="clear" w:color="auto" w:fill="auto"/>
            <w:noWrap/>
            <w:vAlign w:val="bottom"/>
          </w:tcPr>
          <w:p w:rsidR="005F2030" w:rsidRPr="00966966" w:rsidRDefault="005F2030" w:rsidP="005F2030">
            <w:pPr>
              <w:spacing w:after="0" w:line="240" w:lineRule="auto"/>
              <w:jc w:val="right"/>
              <w:rPr>
                <w:rFonts w:asciiTheme="minorHAnsi" w:eastAsia="Times New Roman" w:hAnsiTheme="minorHAnsi" w:cs="Arial"/>
                <w:sz w:val="20"/>
                <w:szCs w:val="20"/>
              </w:rPr>
            </w:pPr>
          </w:p>
        </w:tc>
        <w:tc>
          <w:tcPr>
            <w:tcW w:w="4696" w:type="dxa"/>
            <w:tcBorders>
              <w:top w:val="nil"/>
              <w:left w:val="nil"/>
              <w:bottom w:val="nil"/>
              <w:right w:val="nil"/>
            </w:tcBorders>
            <w:shd w:val="clear" w:color="auto" w:fill="auto"/>
            <w:noWrap/>
            <w:vAlign w:val="bottom"/>
          </w:tcPr>
          <w:p w:rsidR="005F2030" w:rsidRPr="00966966" w:rsidRDefault="005F2030" w:rsidP="005F2030">
            <w:pPr>
              <w:spacing w:after="0" w:line="240" w:lineRule="auto"/>
              <w:rPr>
                <w:rFonts w:asciiTheme="minorHAnsi" w:eastAsia="Times New Roman" w:hAnsiTheme="minorHAnsi" w:cs="Arial"/>
                <w:sz w:val="20"/>
                <w:szCs w:val="20"/>
              </w:rPr>
            </w:pPr>
          </w:p>
        </w:tc>
      </w:tr>
      <w:tr w:rsidR="005F2030" w:rsidRPr="00966966" w:rsidTr="005F2030">
        <w:trPr>
          <w:trHeight w:val="255"/>
        </w:trPr>
        <w:tc>
          <w:tcPr>
            <w:tcW w:w="5416" w:type="dxa"/>
            <w:tcBorders>
              <w:top w:val="nil"/>
              <w:left w:val="nil"/>
              <w:bottom w:val="nil"/>
              <w:right w:val="nil"/>
            </w:tcBorders>
            <w:shd w:val="clear" w:color="auto" w:fill="auto"/>
            <w:noWrap/>
            <w:vAlign w:val="bottom"/>
          </w:tcPr>
          <w:p w:rsidR="005F2030" w:rsidRPr="00966966" w:rsidRDefault="005F2030" w:rsidP="005F2030">
            <w:pPr>
              <w:spacing w:after="0" w:line="240" w:lineRule="auto"/>
              <w:jc w:val="right"/>
              <w:rPr>
                <w:rFonts w:asciiTheme="minorHAnsi" w:eastAsia="Times New Roman" w:hAnsiTheme="minorHAnsi" w:cs="Arial"/>
                <w:sz w:val="20"/>
                <w:szCs w:val="20"/>
              </w:rPr>
            </w:pPr>
          </w:p>
        </w:tc>
        <w:tc>
          <w:tcPr>
            <w:tcW w:w="4696" w:type="dxa"/>
            <w:tcBorders>
              <w:top w:val="nil"/>
              <w:left w:val="nil"/>
              <w:bottom w:val="nil"/>
              <w:right w:val="nil"/>
            </w:tcBorders>
            <w:shd w:val="clear" w:color="auto" w:fill="auto"/>
            <w:noWrap/>
            <w:vAlign w:val="bottom"/>
          </w:tcPr>
          <w:p w:rsidR="005F2030" w:rsidRPr="00966966" w:rsidRDefault="005F2030" w:rsidP="005F2030">
            <w:pPr>
              <w:spacing w:after="0" w:line="240" w:lineRule="auto"/>
              <w:rPr>
                <w:rFonts w:asciiTheme="minorHAnsi" w:eastAsia="Times New Roman" w:hAnsiTheme="minorHAnsi" w:cs="Arial"/>
                <w:sz w:val="20"/>
                <w:szCs w:val="20"/>
              </w:rPr>
            </w:pPr>
          </w:p>
        </w:tc>
      </w:tr>
      <w:tr w:rsidR="005F2030" w:rsidRPr="00966966" w:rsidTr="005F2030">
        <w:trPr>
          <w:trHeight w:val="255"/>
        </w:trPr>
        <w:tc>
          <w:tcPr>
            <w:tcW w:w="5416" w:type="dxa"/>
            <w:tcBorders>
              <w:top w:val="nil"/>
              <w:left w:val="nil"/>
              <w:bottom w:val="nil"/>
              <w:right w:val="nil"/>
            </w:tcBorders>
            <w:shd w:val="clear" w:color="auto" w:fill="auto"/>
            <w:noWrap/>
            <w:vAlign w:val="bottom"/>
          </w:tcPr>
          <w:p w:rsidR="005F2030" w:rsidRPr="00966966" w:rsidRDefault="005F2030" w:rsidP="005F2030">
            <w:pPr>
              <w:spacing w:after="0" w:line="240" w:lineRule="auto"/>
              <w:rPr>
                <w:rFonts w:asciiTheme="minorHAnsi" w:eastAsia="Times New Roman" w:hAnsiTheme="minorHAnsi" w:cs="Arial"/>
                <w:sz w:val="20"/>
                <w:szCs w:val="20"/>
              </w:rPr>
            </w:pPr>
          </w:p>
        </w:tc>
        <w:tc>
          <w:tcPr>
            <w:tcW w:w="4696" w:type="dxa"/>
            <w:tcBorders>
              <w:top w:val="nil"/>
              <w:left w:val="nil"/>
              <w:bottom w:val="nil"/>
              <w:right w:val="nil"/>
            </w:tcBorders>
            <w:shd w:val="clear" w:color="auto" w:fill="auto"/>
            <w:noWrap/>
            <w:vAlign w:val="bottom"/>
          </w:tcPr>
          <w:p w:rsidR="005F2030" w:rsidRPr="00966966" w:rsidRDefault="005F2030" w:rsidP="005F2030">
            <w:pPr>
              <w:spacing w:after="0" w:line="240" w:lineRule="auto"/>
              <w:rPr>
                <w:rFonts w:asciiTheme="minorHAnsi" w:eastAsia="Times New Roman" w:hAnsiTheme="minorHAnsi" w:cs="Arial"/>
                <w:sz w:val="20"/>
                <w:szCs w:val="20"/>
              </w:rPr>
            </w:pPr>
          </w:p>
        </w:tc>
      </w:tr>
      <w:tr w:rsidR="005F2030" w:rsidRPr="00966966" w:rsidTr="005F2030">
        <w:trPr>
          <w:trHeight w:val="255"/>
        </w:trPr>
        <w:tc>
          <w:tcPr>
            <w:tcW w:w="5416" w:type="dxa"/>
            <w:tcBorders>
              <w:top w:val="nil"/>
              <w:left w:val="nil"/>
              <w:bottom w:val="nil"/>
              <w:right w:val="nil"/>
            </w:tcBorders>
            <w:shd w:val="clear" w:color="auto" w:fill="auto"/>
            <w:noWrap/>
            <w:vAlign w:val="bottom"/>
          </w:tcPr>
          <w:p w:rsidR="005F2030" w:rsidRPr="00966966" w:rsidRDefault="005F2030" w:rsidP="005F2030">
            <w:pPr>
              <w:spacing w:after="0" w:line="240" w:lineRule="auto"/>
              <w:rPr>
                <w:rFonts w:asciiTheme="minorHAnsi" w:eastAsia="Times New Roman" w:hAnsiTheme="minorHAnsi" w:cs="Arial"/>
                <w:sz w:val="20"/>
                <w:szCs w:val="20"/>
              </w:rPr>
            </w:pPr>
          </w:p>
        </w:tc>
        <w:tc>
          <w:tcPr>
            <w:tcW w:w="4696" w:type="dxa"/>
            <w:tcBorders>
              <w:top w:val="nil"/>
              <w:left w:val="nil"/>
              <w:bottom w:val="nil"/>
              <w:right w:val="nil"/>
            </w:tcBorders>
            <w:shd w:val="clear" w:color="auto" w:fill="auto"/>
            <w:noWrap/>
            <w:vAlign w:val="bottom"/>
          </w:tcPr>
          <w:p w:rsidR="005F2030" w:rsidRPr="00966966" w:rsidRDefault="005F2030" w:rsidP="005F2030">
            <w:pPr>
              <w:spacing w:after="0" w:line="240" w:lineRule="auto"/>
              <w:rPr>
                <w:rFonts w:asciiTheme="minorHAnsi" w:eastAsia="Times New Roman" w:hAnsiTheme="minorHAnsi" w:cs="Arial"/>
                <w:sz w:val="20"/>
                <w:szCs w:val="20"/>
              </w:rPr>
            </w:pPr>
          </w:p>
        </w:tc>
      </w:tr>
      <w:tr w:rsidR="005F2030" w:rsidRPr="00966966" w:rsidTr="005F2030">
        <w:trPr>
          <w:trHeight w:val="255"/>
        </w:trPr>
        <w:tc>
          <w:tcPr>
            <w:tcW w:w="5416" w:type="dxa"/>
            <w:tcBorders>
              <w:top w:val="nil"/>
              <w:left w:val="nil"/>
              <w:bottom w:val="nil"/>
              <w:right w:val="nil"/>
            </w:tcBorders>
            <w:shd w:val="clear" w:color="auto" w:fill="auto"/>
            <w:noWrap/>
            <w:vAlign w:val="bottom"/>
          </w:tcPr>
          <w:p w:rsidR="005F2030" w:rsidRPr="00966966" w:rsidRDefault="005F2030" w:rsidP="005F2030">
            <w:pPr>
              <w:spacing w:after="0" w:line="240" w:lineRule="auto"/>
              <w:jc w:val="right"/>
              <w:rPr>
                <w:rFonts w:asciiTheme="minorHAnsi" w:eastAsia="Times New Roman" w:hAnsiTheme="minorHAnsi" w:cs="Arial"/>
                <w:sz w:val="20"/>
                <w:szCs w:val="20"/>
              </w:rPr>
            </w:pPr>
          </w:p>
        </w:tc>
        <w:tc>
          <w:tcPr>
            <w:tcW w:w="4696" w:type="dxa"/>
            <w:tcBorders>
              <w:top w:val="nil"/>
              <w:left w:val="nil"/>
              <w:bottom w:val="nil"/>
              <w:right w:val="nil"/>
            </w:tcBorders>
            <w:shd w:val="clear" w:color="auto" w:fill="auto"/>
            <w:noWrap/>
            <w:vAlign w:val="bottom"/>
          </w:tcPr>
          <w:p w:rsidR="005F2030" w:rsidRPr="00966966" w:rsidRDefault="005F2030" w:rsidP="005F2030">
            <w:pPr>
              <w:spacing w:after="0" w:line="240" w:lineRule="auto"/>
              <w:rPr>
                <w:rFonts w:asciiTheme="minorHAnsi" w:eastAsia="Times New Roman" w:hAnsiTheme="minorHAnsi" w:cs="Arial"/>
                <w:sz w:val="20"/>
                <w:szCs w:val="20"/>
              </w:rPr>
            </w:pPr>
          </w:p>
        </w:tc>
      </w:tr>
      <w:tr w:rsidR="005F2030" w:rsidRPr="00966966" w:rsidTr="005F2030">
        <w:trPr>
          <w:trHeight w:val="255"/>
        </w:trPr>
        <w:tc>
          <w:tcPr>
            <w:tcW w:w="5416" w:type="dxa"/>
            <w:tcBorders>
              <w:top w:val="nil"/>
              <w:left w:val="nil"/>
              <w:bottom w:val="nil"/>
              <w:right w:val="nil"/>
            </w:tcBorders>
            <w:shd w:val="clear" w:color="auto" w:fill="auto"/>
            <w:noWrap/>
            <w:vAlign w:val="bottom"/>
          </w:tcPr>
          <w:p w:rsidR="005F2030" w:rsidRPr="00966966" w:rsidRDefault="005F2030" w:rsidP="005F2030">
            <w:pPr>
              <w:spacing w:after="0" w:line="240" w:lineRule="auto"/>
              <w:jc w:val="right"/>
              <w:rPr>
                <w:rFonts w:asciiTheme="minorHAnsi" w:eastAsia="Times New Roman" w:hAnsiTheme="minorHAnsi" w:cs="Arial"/>
                <w:sz w:val="20"/>
                <w:szCs w:val="20"/>
              </w:rPr>
            </w:pPr>
          </w:p>
        </w:tc>
        <w:tc>
          <w:tcPr>
            <w:tcW w:w="4696" w:type="dxa"/>
            <w:tcBorders>
              <w:top w:val="nil"/>
              <w:left w:val="nil"/>
              <w:bottom w:val="nil"/>
              <w:right w:val="nil"/>
            </w:tcBorders>
            <w:shd w:val="clear" w:color="auto" w:fill="auto"/>
            <w:noWrap/>
            <w:vAlign w:val="bottom"/>
          </w:tcPr>
          <w:p w:rsidR="005F2030" w:rsidRPr="00966966" w:rsidRDefault="005F2030" w:rsidP="005F2030">
            <w:pPr>
              <w:spacing w:after="0" w:line="240" w:lineRule="auto"/>
              <w:rPr>
                <w:rFonts w:asciiTheme="minorHAnsi" w:eastAsia="Times New Roman" w:hAnsiTheme="minorHAnsi" w:cs="Arial"/>
                <w:sz w:val="20"/>
                <w:szCs w:val="20"/>
              </w:rPr>
            </w:pPr>
          </w:p>
        </w:tc>
      </w:tr>
      <w:tr w:rsidR="005F2030" w:rsidRPr="00966966" w:rsidTr="005F2030">
        <w:trPr>
          <w:trHeight w:val="255"/>
        </w:trPr>
        <w:tc>
          <w:tcPr>
            <w:tcW w:w="5416" w:type="dxa"/>
            <w:tcBorders>
              <w:top w:val="nil"/>
              <w:left w:val="nil"/>
              <w:bottom w:val="nil"/>
              <w:right w:val="nil"/>
            </w:tcBorders>
            <w:shd w:val="clear" w:color="auto" w:fill="auto"/>
            <w:noWrap/>
            <w:vAlign w:val="bottom"/>
          </w:tcPr>
          <w:p w:rsidR="005F2030" w:rsidRPr="00966966" w:rsidRDefault="005F2030" w:rsidP="005F2030">
            <w:pPr>
              <w:spacing w:after="0" w:line="240" w:lineRule="auto"/>
              <w:jc w:val="right"/>
              <w:rPr>
                <w:rFonts w:asciiTheme="minorHAnsi" w:eastAsia="Times New Roman" w:hAnsiTheme="minorHAnsi" w:cs="Arial"/>
                <w:sz w:val="20"/>
                <w:szCs w:val="20"/>
              </w:rPr>
            </w:pPr>
          </w:p>
        </w:tc>
        <w:tc>
          <w:tcPr>
            <w:tcW w:w="4696" w:type="dxa"/>
            <w:tcBorders>
              <w:top w:val="nil"/>
              <w:left w:val="nil"/>
              <w:bottom w:val="nil"/>
              <w:right w:val="nil"/>
            </w:tcBorders>
            <w:shd w:val="clear" w:color="auto" w:fill="auto"/>
            <w:noWrap/>
            <w:vAlign w:val="bottom"/>
          </w:tcPr>
          <w:p w:rsidR="005F2030" w:rsidRPr="00966966" w:rsidRDefault="005F2030" w:rsidP="005F2030">
            <w:pPr>
              <w:spacing w:after="0" w:line="240" w:lineRule="auto"/>
              <w:rPr>
                <w:rFonts w:asciiTheme="minorHAnsi" w:eastAsia="Times New Roman" w:hAnsiTheme="minorHAnsi" w:cs="Arial"/>
                <w:sz w:val="20"/>
                <w:szCs w:val="20"/>
              </w:rPr>
            </w:pPr>
          </w:p>
        </w:tc>
      </w:tr>
      <w:tr w:rsidR="005F2030" w:rsidRPr="00966966" w:rsidTr="005F2030">
        <w:trPr>
          <w:trHeight w:val="255"/>
        </w:trPr>
        <w:tc>
          <w:tcPr>
            <w:tcW w:w="5416" w:type="dxa"/>
            <w:tcBorders>
              <w:top w:val="nil"/>
              <w:left w:val="nil"/>
              <w:bottom w:val="nil"/>
              <w:right w:val="nil"/>
            </w:tcBorders>
            <w:shd w:val="clear" w:color="auto" w:fill="auto"/>
            <w:noWrap/>
            <w:vAlign w:val="bottom"/>
          </w:tcPr>
          <w:p w:rsidR="005F2030" w:rsidRPr="00966966" w:rsidRDefault="005F2030" w:rsidP="005F2030">
            <w:pPr>
              <w:spacing w:after="0" w:line="240" w:lineRule="auto"/>
              <w:jc w:val="right"/>
              <w:rPr>
                <w:rFonts w:asciiTheme="minorHAnsi" w:eastAsia="Times New Roman" w:hAnsiTheme="minorHAnsi" w:cs="Arial"/>
                <w:sz w:val="20"/>
                <w:szCs w:val="20"/>
              </w:rPr>
            </w:pPr>
          </w:p>
        </w:tc>
        <w:tc>
          <w:tcPr>
            <w:tcW w:w="4696" w:type="dxa"/>
            <w:tcBorders>
              <w:top w:val="nil"/>
              <w:left w:val="nil"/>
              <w:bottom w:val="nil"/>
              <w:right w:val="nil"/>
            </w:tcBorders>
            <w:shd w:val="clear" w:color="auto" w:fill="auto"/>
            <w:noWrap/>
            <w:vAlign w:val="bottom"/>
          </w:tcPr>
          <w:p w:rsidR="005F2030" w:rsidRPr="00966966" w:rsidRDefault="005F2030" w:rsidP="005F2030">
            <w:pPr>
              <w:spacing w:after="0" w:line="240" w:lineRule="auto"/>
              <w:rPr>
                <w:rFonts w:asciiTheme="minorHAnsi" w:eastAsia="Times New Roman" w:hAnsiTheme="minorHAnsi" w:cs="Arial"/>
                <w:sz w:val="20"/>
                <w:szCs w:val="20"/>
              </w:rPr>
            </w:pPr>
          </w:p>
        </w:tc>
      </w:tr>
      <w:tr w:rsidR="005F2030" w:rsidRPr="00966966" w:rsidTr="005F2030">
        <w:trPr>
          <w:trHeight w:val="255"/>
        </w:trPr>
        <w:tc>
          <w:tcPr>
            <w:tcW w:w="5416" w:type="dxa"/>
            <w:tcBorders>
              <w:top w:val="nil"/>
              <w:left w:val="nil"/>
              <w:bottom w:val="nil"/>
              <w:right w:val="nil"/>
            </w:tcBorders>
            <w:shd w:val="clear" w:color="auto" w:fill="auto"/>
            <w:noWrap/>
            <w:vAlign w:val="bottom"/>
          </w:tcPr>
          <w:p w:rsidR="005F2030" w:rsidRPr="00966966" w:rsidRDefault="005F2030" w:rsidP="005F2030">
            <w:pPr>
              <w:spacing w:after="0" w:line="240" w:lineRule="auto"/>
              <w:jc w:val="right"/>
              <w:rPr>
                <w:rFonts w:asciiTheme="minorHAnsi" w:eastAsia="Times New Roman" w:hAnsiTheme="minorHAnsi" w:cs="Arial"/>
                <w:sz w:val="20"/>
                <w:szCs w:val="20"/>
              </w:rPr>
            </w:pPr>
          </w:p>
        </w:tc>
        <w:tc>
          <w:tcPr>
            <w:tcW w:w="4696" w:type="dxa"/>
            <w:tcBorders>
              <w:top w:val="nil"/>
              <w:left w:val="nil"/>
              <w:bottom w:val="nil"/>
              <w:right w:val="nil"/>
            </w:tcBorders>
            <w:shd w:val="clear" w:color="auto" w:fill="auto"/>
            <w:noWrap/>
            <w:vAlign w:val="bottom"/>
          </w:tcPr>
          <w:p w:rsidR="005F2030" w:rsidRPr="00966966" w:rsidRDefault="005F2030" w:rsidP="005F2030">
            <w:pPr>
              <w:spacing w:after="0" w:line="240" w:lineRule="auto"/>
              <w:rPr>
                <w:rFonts w:asciiTheme="minorHAnsi" w:eastAsia="Times New Roman" w:hAnsiTheme="minorHAnsi" w:cs="Arial"/>
                <w:sz w:val="20"/>
                <w:szCs w:val="20"/>
              </w:rPr>
            </w:pPr>
          </w:p>
        </w:tc>
      </w:tr>
      <w:tr w:rsidR="005F2030" w:rsidRPr="00966966" w:rsidTr="005F2030">
        <w:trPr>
          <w:trHeight w:val="255"/>
        </w:trPr>
        <w:tc>
          <w:tcPr>
            <w:tcW w:w="5416" w:type="dxa"/>
            <w:tcBorders>
              <w:top w:val="nil"/>
              <w:left w:val="nil"/>
              <w:bottom w:val="nil"/>
              <w:right w:val="nil"/>
            </w:tcBorders>
            <w:shd w:val="clear" w:color="auto" w:fill="auto"/>
            <w:noWrap/>
            <w:vAlign w:val="bottom"/>
          </w:tcPr>
          <w:p w:rsidR="005F2030" w:rsidRPr="00966966" w:rsidRDefault="005F2030" w:rsidP="005F2030">
            <w:pPr>
              <w:spacing w:after="0" w:line="240" w:lineRule="auto"/>
              <w:rPr>
                <w:rFonts w:asciiTheme="minorHAnsi" w:eastAsia="Times New Roman" w:hAnsiTheme="minorHAnsi" w:cs="Arial"/>
                <w:sz w:val="20"/>
                <w:szCs w:val="20"/>
              </w:rPr>
            </w:pPr>
          </w:p>
        </w:tc>
        <w:tc>
          <w:tcPr>
            <w:tcW w:w="4696" w:type="dxa"/>
            <w:tcBorders>
              <w:top w:val="nil"/>
              <w:left w:val="nil"/>
              <w:bottom w:val="nil"/>
              <w:right w:val="nil"/>
            </w:tcBorders>
            <w:shd w:val="clear" w:color="auto" w:fill="auto"/>
            <w:noWrap/>
            <w:vAlign w:val="bottom"/>
          </w:tcPr>
          <w:p w:rsidR="005F2030" w:rsidRPr="00966966" w:rsidRDefault="005F2030" w:rsidP="005F2030">
            <w:pPr>
              <w:spacing w:after="0" w:line="240" w:lineRule="auto"/>
              <w:rPr>
                <w:rFonts w:asciiTheme="minorHAnsi" w:eastAsia="Times New Roman" w:hAnsiTheme="minorHAnsi" w:cs="Arial"/>
                <w:sz w:val="20"/>
                <w:szCs w:val="20"/>
              </w:rPr>
            </w:pPr>
          </w:p>
        </w:tc>
      </w:tr>
      <w:tr w:rsidR="005F2030" w:rsidRPr="00966966" w:rsidTr="005F2030">
        <w:trPr>
          <w:trHeight w:val="255"/>
        </w:trPr>
        <w:tc>
          <w:tcPr>
            <w:tcW w:w="5416" w:type="dxa"/>
            <w:tcBorders>
              <w:top w:val="nil"/>
              <w:left w:val="nil"/>
              <w:bottom w:val="nil"/>
              <w:right w:val="nil"/>
            </w:tcBorders>
            <w:shd w:val="clear" w:color="auto" w:fill="auto"/>
            <w:noWrap/>
            <w:vAlign w:val="bottom"/>
          </w:tcPr>
          <w:p w:rsidR="005F2030" w:rsidRPr="00966966" w:rsidRDefault="005F2030" w:rsidP="005F2030">
            <w:pPr>
              <w:spacing w:after="0" w:line="240" w:lineRule="auto"/>
              <w:rPr>
                <w:rFonts w:asciiTheme="minorHAnsi" w:eastAsia="Times New Roman" w:hAnsiTheme="minorHAnsi" w:cs="Arial"/>
                <w:sz w:val="20"/>
                <w:szCs w:val="20"/>
              </w:rPr>
            </w:pPr>
          </w:p>
        </w:tc>
        <w:tc>
          <w:tcPr>
            <w:tcW w:w="4696" w:type="dxa"/>
            <w:tcBorders>
              <w:top w:val="nil"/>
              <w:left w:val="nil"/>
              <w:bottom w:val="nil"/>
              <w:right w:val="nil"/>
            </w:tcBorders>
            <w:shd w:val="clear" w:color="auto" w:fill="auto"/>
            <w:noWrap/>
            <w:vAlign w:val="bottom"/>
          </w:tcPr>
          <w:p w:rsidR="005F2030" w:rsidRPr="00966966" w:rsidRDefault="005F2030" w:rsidP="005F2030">
            <w:pPr>
              <w:spacing w:after="0" w:line="240" w:lineRule="auto"/>
              <w:rPr>
                <w:rFonts w:asciiTheme="minorHAnsi" w:eastAsia="Times New Roman" w:hAnsiTheme="minorHAnsi" w:cs="Arial"/>
                <w:sz w:val="20"/>
                <w:szCs w:val="20"/>
              </w:rPr>
            </w:pPr>
          </w:p>
        </w:tc>
      </w:tr>
    </w:tbl>
    <w:p w:rsidR="00D055E1" w:rsidRPr="00966966" w:rsidRDefault="00D055E1" w:rsidP="00A70B68">
      <w:pPr>
        <w:rPr>
          <w:rFonts w:asciiTheme="minorHAnsi" w:hAnsiTheme="minorHAnsi" w:cs="Arial"/>
          <w:sz w:val="20"/>
          <w:szCs w:val="20"/>
        </w:rPr>
      </w:pPr>
    </w:p>
    <w:sectPr w:rsidR="00D055E1" w:rsidRPr="00966966" w:rsidSect="009B1DB6">
      <w:headerReference w:type="default" r:id="rId9"/>
      <w:footerReference w:type="default" r:id="rId10"/>
      <w:pgSz w:w="12240" w:h="15840"/>
      <w:pgMar w:top="1418" w:right="1701" w:bottom="1418" w:left="1701"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368" w:rsidRDefault="00474368" w:rsidP="00004233">
      <w:pPr>
        <w:spacing w:after="0" w:line="240" w:lineRule="auto"/>
      </w:pPr>
      <w:r>
        <w:separator/>
      </w:r>
    </w:p>
  </w:endnote>
  <w:endnote w:type="continuationSeparator" w:id="0">
    <w:p w:rsidR="00474368" w:rsidRDefault="00474368" w:rsidP="00004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699044"/>
      <w:docPartObj>
        <w:docPartGallery w:val="Page Numbers (Bottom of Page)"/>
        <w:docPartUnique/>
      </w:docPartObj>
    </w:sdtPr>
    <w:sdtEndPr/>
    <w:sdtContent>
      <w:p w:rsidR="00041571" w:rsidRDefault="00041571">
        <w:pPr>
          <w:pStyle w:val="Piedepgina"/>
          <w:jc w:val="center"/>
        </w:pPr>
        <w:r>
          <w:fldChar w:fldCharType="begin"/>
        </w:r>
        <w:r>
          <w:instrText>PAGE   \* MERGEFORMAT</w:instrText>
        </w:r>
        <w:r>
          <w:fldChar w:fldCharType="separate"/>
        </w:r>
        <w:r w:rsidR="00427399" w:rsidRPr="00427399">
          <w:rPr>
            <w:noProof/>
            <w:lang w:val="es-ES"/>
          </w:rPr>
          <w:t>1</w:t>
        </w:r>
        <w:r>
          <w:fldChar w:fldCharType="end"/>
        </w:r>
      </w:p>
    </w:sdtContent>
  </w:sdt>
  <w:p w:rsidR="00041571" w:rsidRDefault="0004157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368" w:rsidRDefault="00474368" w:rsidP="00004233">
      <w:pPr>
        <w:spacing w:after="0" w:line="240" w:lineRule="auto"/>
      </w:pPr>
      <w:r>
        <w:separator/>
      </w:r>
    </w:p>
  </w:footnote>
  <w:footnote w:type="continuationSeparator" w:id="0">
    <w:p w:rsidR="00474368" w:rsidRDefault="00474368" w:rsidP="00004233">
      <w:pPr>
        <w:spacing w:after="0" w:line="240" w:lineRule="auto"/>
      </w:pPr>
      <w:r>
        <w:continuationSeparator/>
      </w:r>
    </w:p>
  </w:footnote>
  <w:footnote w:id="1">
    <w:p w:rsidR="00460B9B" w:rsidRPr="00602647" w:rsidRDefault="00460B9B" w:rsidP="008216A1">
      <w:pPr>
        <w:autoSpaceDE w:val="0"/>
        <w:autoSpaceDN w:val="0"/>
        <w:adjustRightInd w:val="0"/>
        <w:spacing w:after="0" w:line="240" w:lineRule="auto"/>
        <w:jc w:val="both"/>
        <w:rPr>
          <w:rFonts w:ascii="Arial" w:hAnsi="Arial" w:cs="Arial"/>
          <w:sz w:val="16"/>
          <w:szCs w:val="16"/>
        </w:rPr>
      </w:pPr>
      <w:r w:rsidRPr="00602647">
        <w:rPr>
          <w:rStyle w:val="Refdenotaalpie"/>
          <w:rFonts w:ascii="Arial" w:hAnsi="Arial" w:cs="Arial"/>
          <w:sz w:val="16"/>
          <w:szCs w:val="16"/>
        </w:rPr>
        <w:footnoteRef/>
      </w:r>
      <w:r w:rsidRPr="00602647">
        <w:rPr>
          <w:rFonts w:ascii="Arial" w:hAnsi="Arial" w:cs="Arial"/>
          <w:sz w:val="16"/>
          <w:szCs w:val="16"/>
        </w:rPr>
        <w:t xml:space="preserve"> Indicadores de solidez financiera: Guía de compilación—Washington, D.C</w:t>
      </w:r>
      <w:proofErr w:type="gramStart"/>
      <w:r w:rsidRPr="00602647">
        <w:rPr>
          <w:rFonts w:ascii="Arial" w:hAnsi="Arial" w:cs="Arial"/>
          <w:sz w:val="16"/>
          <w:szCs w:val="16"/>
        </w:rPr>
        <w:t>. :</w:t>
      </w:r>
      <w:proofErr w:type="gramEnd"/>
      <w:r w:rsidRPr="00602647">
        <w:rPr>
          <w:rFonts w:ascii="Arial" w:hAnsi="Arial" w:cs="Arial"/>
          <w:sz w:val="16"/>
          <w:szCs w:val="16"/>
        </w:rPr>
        <w:t xml:space="preserve"> Fondo  Monetario Internacional, 2006, 6.15 p</w:t>
      </w:r>
      <w:r w:rsidR="00FC55F5" w:rsidRPr="00602647">
        <w:rPr>
          <w:rFonts w:ascii="Arial" w:hAnsi="Arial" w:cs="Arial"/>
          <w:sz w:val="16"/>
          <w:szCs w:val="16"/>
        </w:rPr>
        <w:t>ágina 81</w:t>
      </w:r>
      <w:r w:rsidRPr="00602647">
        <w:rPr>
          <w:rFonts w:ascii="Arial" w:hAnsi="Arial" w:cs="Arial"/>
          <w:sz w:val="16"/>
          <w:szCs w:val="16"/>
        </w:rPr>
        <w:t>.</w:t>
      </w:r>
    </w:p>
  </w:footnote>
  <w:footnote w:id="2">
    <w:p w:rsidR="00E56BBF" w:rsidRPr="00602647" w:rsidRDefault="00E56BBF" w:rsidP="008216A1">
      <w:pPr>
        <w:pStyle w:val="Textonotapie"/>
        <w:jc w:val="both"/>
        <w:rPr>
          <w:rFonts w:ascii="Arial" w:hAnsi="Arial" w:cs="Arial"/>
          <w:sz w:val="16"/>
          <w:szCs w:val="16"/>
        </w:rPr>
      </w:pPr>
      <w:r w:rsidRPr="00602647">
        <w:rPr>
          <w:rStyle w:val="Refdenotaalpie"/>
          <w:rFonts w:ascii="Arial" w:hAnsi="Arial" w:cs="Arial"/>
          <w:sz w:val="16"/>
          <w:szCs w:val="16"/>
        </w:rPr>
        <w:footnoteRef/>
      </w:r>
      <w:r w:rsidRPr="00602647">
        <w:rPr>
          <w:rFonts w:ascii="Arial" w:hAnsi="Arial" w:cs="Arial"/>
          <w:sz w:val="16"/>
          <w:szCs w:val="16"/>
        </w:rPr>
        <w:t xml:space="preserve"> Indicadores de solidez financiera: Guía de compilación—Washington, D.C</w:t>
      </w:r>
      <w:proofErr w:type="gramStart"/>
      <w:r w:rsidRPr="00602647">
        <w:rPr>
          <w:rFonts w:ascii="Arial" w:hAnsi="Arial" w:cs="Arial"/>
          <w:sz w:val="16"/>
          <w:szCs w:val="16"/>
        </w:rPr>
        <w:t>. :</w:t>
      </w:r>
      <w:proofErr w:type="gramEnd"/>
      <w:r w:rsidRPr="00602647">
        <w:rPr>
          <w:rFonts w:ascii="Arial" w:hAnsi="Arial" w:cs="Arial"/>
          <w:sz w:val="16"/>
          <w:szCs w:val="16"/>
        </w:rPr>
        <w:t xml:space="preserve"> Fondo  Monetario Internacional, 2006, 6.26 página 82.</w:t>
      </w:r>
    </w:p>
  </w:footnote>
  <w:footnote w:id="3">
    <w:p w:rsidR="00A73EAC" w:rsidRPr="00602647" w:rsidRDefault="00A73EAC" w:rsidP="008216A1">
      <w:pPr>
        <w:pStyle w:val="Textonotapie"/>
        <w:jc w:val="both"/>
        <w:rPr>
          <w:rFonts w:ascii="Arial" w:hAnsi="Arial" w:cs="Arial"/>
          <w:sz w:val="16"/>
          <w:szCs w:val="16"/>
        </w:rPr>
      </w:pPr>
      <w:r w:rsidRPr="00602647">
        <w:rPr>
          <w:rStyle w:val="Refdenotaalpie"/>
          <w:rFonts w:ascii="Arial" w:hAnsi="Arial" w:cs="Arial"/>
          <w:sz w:val="16"/>
          <w:szCs w:val="16"/>
        </w:rPr>
        <w:footnoteRef/>
      </w:r>
      <w:r w:rsidRPr="00602647">
        <w:rPr>
          <w:rFonts w:ascii="Arial" w:hAnsi="Arial" w:cs="Arial"/>
          <w:sz w:val="16"/>
          <w:szCs w:val="16"/>
        </w:rPr>
        <w:t xml:space="preserve"> Codificación de Resoluciones de la Superintendencia de Bancos y Seguros y de la Junta Bancaria, Libro I Normas Generales para las Instituciones del Sistema Financiera, Título XIV Código de Transparencia y Derechos del Usuario Financiero, Capitulo II de la Informaci</w:t>
      </w:r>
      <w:r w:rsidR="00786938" w:rsidRPr="00602647">
        <w:rPr>
          <w:rFonts w:ascii="Arial" w:hAnsi="Arial" w:cs="Arial"/>
          <w:sz w:val="16"/>
          <w:szCs w:val="16"/>
        </w:rPr>
        <w:t>ón y Publicidad, Anexo.</w:t>
      </w:r>
    </w:p>
  </w:footnote>
  <w:footnote w:id="4">
    <w:p w:rsidR="006C711A" w:rsidRPr="002339BF" w:rsidRDefault="006C711A" w:rsidP="008216A1">
      <w:pPr>
        <w:pStyle w:val="Textonotapie"/>
        <w:jc w:val="both"/>
        <w:rPr>
          <w:sz w:val="16"/>
          <w:szCs w:val="16"/>
        </w:rPr>
      </w:pPr>
      <w:r w:rsidRPr="00602647">
        <w:rPr>
          <w:rStyle w:val="Refdenotaalpie"/>
          <w:rFonts w:ascii="Arial" w:hAnsi="Arial" w:cs="Arial"/>
          <w:sz w:val="16"/>
          <w:szCs w:val="16"/>
        </w:rPr>
        <w:footnoteRef/>
      </w:r>
      <w:r w:rsidRPr="00602647">
        <w:rPr>
          <w:rFonts w:ascii="Arial" w:hAnsi="Arial" w:cs="Arial"/>
          <w:sz w:val="16"/>
          <w:szCs w:val="16"/>
        </w:rPr>
        <w:t xml:space="preserve"> Conforme el  Catálogo Único de Cuentas emitido con Resolución No. SBS-2014-0761 de 05 de septiembre del 2014.</w:t>
      </w:r>
    </w:p>
  </w:footnote>
  <w:footnote w:id="5">
    <w:p w:rsidR="0040512B" w:rsidRPr="00602647" w:rsidRDefault="0040512B" w:rsidP="00393E4A">
      <w:pPr>
        <w:autoSpaceDE w:val="0"/>
        <w:autoSpaceDN w:val="0"/>
        <w:adjustRightInd w:val="0"/>
        <w:spacing w:after="0" w:line="240" w:lineRule="auto"/>
        <w:jc w:val="both"/>
        <w:rPr>
          <w:rFonts w:ascii="Arial" w:hAnsi="Arial" w:cs="Arial"/>
          <w:sz w:val="16"/>
          <w:szCs w:val="16"/>
        </w:rPr>
      </w:pPr>
      <w:r w:rsidRPr="00602647">
        <w:rPr>
          <w:rStyle w:val="Refdenotaalpie"/>
          <w:rFonts w:ascii="Arial" w:hAnsi="Arial" w:cs="Arial"/>
          <w:sz w:val="16"/>
          <w:szCs w:val="16"/>
        </w:rPr>
        <w:footnoteRef/>
      </w:r>
      <w:r w:rsidRPr="00602647">
        <w:rPr>
          <w:rFonts w:ascii="Arial" w:hAnsi="Arial" w:cs="Arial"/>
          <w:sz w:val="16"/>
          <w:szCs w:val="16"/>
        </w:rPr>
        <w:t xml:space="preserve"> </w:t>
      </w:r>
      <w:r w:rsidR="00D3490E">
        <w:rPr>
          <w:rFonts w:ascii="Arial" w:hAnsi="Arial" w:cs="Arial"/>
          <w:sz w:val="16"/>
          <w:szCs w:val="16"/>
        </w:rPr>
        <w:t xml:space="preserve">FMI, Indicadores de Solidez Financiera, </w:t>
      </w:r>
      <w:proofErr w:type="spellStart"/>
      <w:r w:rsidR="00D3490E">
        <w:rPr>
          <w:rFonts w:ascii="Arial" w:hAnsi="Arial" w:cs="Arial"/>
          <w:sz w:val="16"/>
          <w:szCs w:val="16"/>
        </w:rPr>
        <w:t>Guia</w:t>
      </w:r>
      <w:proofErr w:type="spellEnd"/>
      <w:r w:rsidR="00D3490E">
        <w:rPr>
          <w:rFonts w:ascii="Arial" w:hAnsi="Arial" w:cs="Arial"/>
          <w:sz w:val="16"/>
          <w:szCs w:val="16"/>
        </w:rPr>
        <w:t xml:space="preserve"> de compilación 2006, p.  83. </w:t>
      </w:r>
      <w:r w:rsidRPr="00602647">
        <w:rPr>
          <w:rFonts w:ascii="Arial" w:hAnsi="Arial" w:cs="Arial"/>
          <w:sz w:val="16"/>
          <w:szCs w:val="16"/>
          <w:lang w:eastAsia="en-US"/>
        </w:rPr>
        <w:t>Este indicador mide el rendimiento en relación al patrimonio. “Este coeficiente debe interpretarse junto con los Indicadores de Solidez Financiera relativos a la suficiencia de capital, ya que un valor alto del coeficiente podría significar una alta rentabilidad y/o una baja capitalización, y un valor bajo podría indicar una baja rentabilidad y/o una alta capitalización.</w:t>
      </w:r>
    </w:p>
  </w:footnote>
  <w:footnote w:id="6">
    <w:p w:rsidR="00FF4473" w:rsidRPr="00FF4473" w:rsidRDefault="00FF4473">
      <w:pPr>
        <w:pStyle w:val="Textonotapie"/>
        <w:rPr>
          <w:rFonts w:ascii="Arial" w:hAnsi="Arial" w:cs="Arial"/>
          <w:sz w:val="16"/>
          <w:szCs w:val="16"/>
          <w:lang w:val="es-ES"/>
        </w:rPr>
      </w:pPr>
      <w:r w:rsidRPr="00FF4473">
        <w:rPr>
          <w:rStyle w:val="Refdenotaalpie"/>
          <w:rFonts w:ascii="Arial" w:hAnsi="Arial" w:cs="Arial"/>
          <w:sz w:val="16"/>
          <w:szCs w:val="16"/>
        </w:rPr>
        <w:footnoteRef/>
      </w:r>
      <w:r w:rsidRPr="00FF4473">
        <w:rPr>
          <w:rFonts w:ascii="Arial" w:hAnsi="Arial" w:cs="Arial"/>
          <w:sz w:val="16"/>
          <w:szCs w:val="16"/>
        </w:rPr>
        <w:t xml:space="preserve"> A nivel nacional (Instituciones financieras bajo el control de la Superintendencia de Bancos).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CB8" w:rsidRDefault="00965CB8" w:rsidP="00C761BA">
    <w:pPr>
      <w:pStyle w:val="Encabezado"/>
      <w:tabs>
        <w:tab w:val="clear" w:pos="8838"/>
        <w:tab w:val="right" w:pos="10632"/>
      </w:tabs>
      <w:ind w:left="-1701" w:right="-165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A5FC1"/>
    <w:multiLevelType w:val="hybridMultilevel"/>
    <w:tmpl w:val="98CE7E0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414268C"/>
    <w:multiLevelType w:val="hybridMultilevel"/>
    <w:tmpl w:val="EF0EAF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C9847E6"/>
    <w:multiLevelType w:val="hybridMultilevel"/>
    <w:tmpl w:val="11C069A4"/>
    <w:lvl w:ilvl="0" w:tplc="300A000F">
      <w:start w:val="1"/>
      <w:numFmt w:val="decimal"/>
      <w:lvlText w:val="%1."/>
      <w:lvlJc w:val="left"/>
      <w:pPr>
        <w:ind w:left="720" w:hanging="360"/>
      </w:pPr>
      <w:rPr>
        <w:rFonts w:eastAsia="Times New Roman"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nsid w:val="102B729D"/>
    <w:multiLevelType w:val="hybridMultilevel"/>
    <w:tmpl w:val="844278C2"/>
    <w:lvl w:ilvl="0" w:tplc="300A0019">
      <w:start w:val="1"/>
      <w:numFmt w:val="lowerLetter"/>
      <w:lvlText w:val="%1."/>
      <w:lvlJc w:val="left"/>
      <w:pPr>
        <w:ind w:left="1068" w:hanging="360"/>
      </w:p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4">
    <w:nsid w:val="10B80A65"/>
    <w:multiLevelType w:val="hybridMultilevel"/>
    <w:tmpl w:val="7174061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nsid w:val="11A87AE2"/>
    <w:multiLevelType w:val="hybridMultilevel"/>
    <w:tmpl w:val="304AD778"/>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nsid w:val="161A1955"/>
    <w:multiLevelType w:val="hybridMultilevel"/>
    <w:tmpl w:val="D2662886"/>
    <w:lvl w:ilvl="0" w:tplc="300A000F">
      <w:start w:val="1"/>
      <w:numFmt w:val="decimal"/>
      <w:lvlText w:val="%1."/>
      <w:lvlJc w:val="left"/>
      <w:pPr>
        <w:ind w:left="644"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nsid w:val="19895E60"/>
    <w:multiLevelType w:val="hybridMultilevel"/>
    <w:tmpl w:val="CBFC1410"/>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nsid w:val="1D7E2657"/>
    <w:multiLevelType w:val="hybridMultilevel"/>
    <w:tmpl w:val="F1CA888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nsid w:val="232B576B"/>
    <w:multiLevelType w:val="hybridMultilevel"/>
    <w:tmpl w:val="E9922EE4"/>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0">
    <w:nsid w:val="303E05A8"/>
    <w:multiLevelType w:val="hybridMultilevel"/>
    <w:tmpl w:val="464899F2"/>
    <w:lvl w:ilvl="0" w:tplc="5ABC5AD6">
      <w:start w:val="18"/>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nsid w:val="304052FE"/>
    <w:multiLevelType w:val="hybridMultilevel"/>
    <w:tmpl w:val="398031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0ED37B2"/>
    <w:multiLevelType w:val="hybridMultilevel"/>
    <w:tmpl w:val="C0E83C4C"/>
    <w:lvl w:ilvl="0" w:tplc="E050DA46">
      <w:start w:val="2"/>
      <w:numFmt w:val="lowerLetter"/>
      <w:lvlText w:val="%1)"/>
      <w:lvlJc w:val="left"/>
      <w:pPr>
        <w:ind w:left="144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nsid w:val="32965621"/>
    <w:multiLevelType w:val="hybridMultilevel"/>
    <w:tmpl w:val="D2662886"/>
    <w:lvl w:ilvl="0" w:tplc="300A000F">
      <w:start w:val="1"/>
      <w:numFmt w:val="decimal"/>
      <w:lvlText w:val="%1."/>
      <w:lvlJc w:val="left"/>
      <w:pPr>
        <w:ind w:left="644"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4">
    <w:nsid w:val="34C057DF"/>
    <w:multiLevelType w:val="hybridMultilevel"/>
    <w:tmpl w:val="7A36DC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A4D6672"/>
    <w:multiLevelType w:val="hybridMultilevel"/>
    <w:tmpl w:val="7B583D14"/>
    <w:lvl w:ilvl="0" w:tplc="300A000F">
      <w:start w:val="1"/>
      <w:numFmt w:val="decimal"/>
      <w:lvlText w:val="%1."/>
      <w:lvlJc w:val="left"/>
      <w:pPr>
        <w:ind w:left="720" w:hanging="360"/>
      </w:pPr>
      <w:rPr>
        <w:rFonts w:hint="default"/>
        <w:color w:val="auto"/>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
    <w:nsid w:val="3A6D35C2"/>
    <w:multiLevelType w:val="hybridMultilevel"/>
    <w:tmpl w:val="02D26F56"/>
    <w:lvl w:ilvl="0" w:tplc="300A000F">
      <w:start w:val="1"/>
      <w:numFmt w:val="decimal"/>
      <w:lvlText w:val="%1."/>
      <w:lvlJc w:val="left"/>
      <w:pPr>
        <w:ind w:left="783" w:hanging="360"/>
      </w:pPr>
    </w:lvl>
    <w:lvl w:ilvl="1" w:tplc="300A0019" w:tentative="1">
      <w:start w:val="1"/>
      <w:numFmt w:val="lowerLetter"/>
      <w:lvlText w:val="%2."/>
      <w:lvlJc w:val="left"/>
      <w:pPr>
        <w:ind w:left="1503" w:hanging="360"/>
      </w:pPr>
    </w:lvl>
    <w:lvl w:ilvl="2" w:tplc="300A001B" w:tentative="1">
      <w:start w:val="1"/>
      <w:numFmt w:val="lowerRoman"/>
      <w:lvlText w:val="%3."/>
      <w:lvlJc w:val="right"/>
      <w:pPr>
        <w:ind w:left="2223" w:hanging="180"/>
      </w:pPr>
    </w:lvl>
    <w:lvl w:ilvl="3" w:tplc="300A000F" w:tentative="1">
      <w:start w:val="1"/>
      <w:numFmt w:val="decimal"/>
      <w:lvlText w:val="%4."/>
      <w:lvlJc w:val="left"/>
      <w:pPr>
        <w:ind w:left="2943" w:hanging="360"/>
      </w:pPr>
    </w:lvl>
    <w:lvl w:ilvl="4" w:tplc="300A0019" w:tentative="1">
      <w:start w:val="1"/>
      <w:numFmt w:val="lowerLetter"/>
      <w:lvlText w:val="%5."/>
      <w:lvlJc w:val="left"/>
      <w:pPr>
        <w:ind w:left="3663" w:hanging="360"/>
      </w:pPr>
    </w:lvl>
    <w:lvl w:ilvl="5" w:tplc="300A001B" w:tentative="1">
      <w:start w:val="1"/>
      <w:numFmt w:val="lowerRoman"/>
      <w:lvlText w:val="%6."/>
      <w:lvlJc w:val="right"/>
      <w:pPr>
        <w:ind w:left="4383" w:hanging="180"/>
      </w:pPr>
    </w:lvl>
    <w:lvl w:ilvl="6" w:tplc="300A000F" w:tentative="1">
      <w:start w:val="1"/>
      <w:numFmt w:val="decimal"/>
      <w:lvlText w:val="%7."/>
      <w:lvlJc w:val="left"/>
      <w:pPr>
        <w:ind w:left="5103" w:hanging="360"/>
      </w:pPr>
    </w:lvl>
    <w:lvl w:ilvl="7" w:tplc="300A0019" w:tentative="1">
      <w:start w:val="1"/>
      <w:numFmt w:val="lowerLetter"/>
      <w:lvlText w:val="%8."/>
      <w:lvlJc w:val="left"/>
      <w:pPr>
        <w:ind w:left="5823" w:hanging="360"/>
      </w:pPr>
    </w:lvl>
    <w:lvl w:ilvl="8" w:tplc="300A001B" w:tentative="1">
      <w:start w:val="1"/>
      <w:numFmt w:val="lowerRoman"/>
      <w:lvlText w:val="%9."/>
      <w:lvlJc w:val="right"/>
      <w:pPr>
        <w:ind w:left="6543" w:hanging="180"/>
      </w:pPr>
    </w:lvl>
  </w:abstractNum>
  <w:abstractNum w:abstractNumId="17">
    <w:nsid w:val="41D82C41"/>
    <w:multiLevelType w:val="hybridMultilevel"/>
    <w:tmpl w:val="DE9EEC3C"/>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nsid w:val="4B816B5E"/>
    <w:multiLevelType w:val="hybridMultilevel"/>
    <w:tmpl w:val="4C7A428E"/>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
    <w:nsid w:val="547962A0"/>
    <w:multiLevelType w:val="hybridMultilevel"/>
    <w:tmpl w:val="D9D2DCB0"/>
    <w:lvl w:ilvl="0" w:tplc="B57E3814">
      <w:start w:val="1"/>
      <w:numFmt w:val="bullet"/>
      <w:lvlText w:val=""/>
      <w:lvlJc w:val="left"/>
      <w:pPr>
        <w:ind w:left="360" w:hanging="360"/>
      </w:pPr>
      <w:rPr>
        <w:rFonts w:ascii="Symbol" w:eastAsia="Calibri" w:hAnsi="Symbo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5481292C"/>
    <w:multiLevelType w:val="hybridMultilevel"/>
    <w:tmpl w:val="6D74588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nsid w:val="55160311"/>
    <w:multiLevelType w:val="hybridMultilevel"/>
    <w:tmpl w:val="871A5C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588E7CFD"/>
    <w:multiLevelType w:val="hybridMultilevel"/>
    <w:tmpl w:val="304AD778"/>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
    <w:nsid w:val="5F934D49"/>
    <w:multiLevelType w:val="hybridMultilevel"/>
    <w:tmpl w:val="F1CA888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
    <w:nsid w:val="5FED4714"/>
    <w:multiLevelType w:val="hybridMultilevel"/>
    <w:tmpl w:val="B8E4B5D4"/>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5">
    <w:nsid w:val="643047BB"/>
    <w:multiLevelType w:val="hybridMultilevel"/>
    <w:tmpl w:val="3508E4DA"/>
    <w:lvl w:ilvl="0" w:tplc="AD26283C">
      <w:start w:val="1"/>
      <w:numFmt w:val="lowerLetter"/>
      <w:lvlText w:val="%1)"/>
      <w:lvlJc w:val="left"/>
      <w:pPr>
        <w:ind w:left="1080" w:hanging="360"/>
      </w:pPr>
      <w:rPr>
        <w:b/>
        <w:color w:val="1F497D"/>
      </w:rPr>
    </w:lvl>
    <w:lvl w:ilvl="1" w:tplc="300A0013">
      <w:start w:val="1"/>
      <w:numFmt w:val="upperRoman"/>
      <w:lvlText w:val="%2."/>
      <w:lvlJc w:val="right"/>
      <w:pPr>
        <w:ind w:left="1800" w:hanging="360"/>
      </w:pPr>
    </w:lvl>
    <w:lvl w:ilvl="2" w:tplc="0C0A0019">
      <w:start w:val="1"/>
      <w:numFmt w:val="lowerLetter"/>
      <w:lvlText w:val="%3."/>
      <w:lvlJc w:val="lef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nsid w:val="656E77C2"/>
    <w:multiLevelType w:val="hybridMultilevel"/>
    <w:tmpl w:val="3CBEC5E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nsid w:val="659A0C2A"/>
    <w:multiLevelType w:val="hybridMultilevel"/>
    <w:tmpl w:val="7174061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nsid w:val="67364BD2"/>
    <w:multiLevelType w:val="hybridMultilevel"/>
    <w:tmpl w:val="ED267B7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9">
    <w:nsid w:val="680A140A"/>
    <w:multiLevelType w:val="hybridMultilevel"/>
    <w:tmpl w:val="DB38A18A"/>
    <w:lvl w:ilvl="0" w:tplc="300A0019">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0">
    <w:nsid w:val="6AC260AB"/>
    <w:multiLevelType w:val="hybridMultilevel"/>
    <w:tmpl w:val="7174061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1">
    <w:nsid w:val="6DE074A8"/>
    <w:multiLevelType w:val="hybridMultilevel"/>
    <w:tmpl w:val="9EA467BE"/>
    <w:lvl w:ilvl="0" w:tplc="B6A21D90">
      <w:start w:val="18"/>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2">
    <w:nsid w:val="6EB31B44"/>
    <w:multiLevelType w:val="hybridMultilevel"/>
    <w:tmpl w:val="396EA51A"/>
    <w:lvl w:ilvl="0" w:tplc="11AC4194">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3">
    <w:nsid w:val="70454A30"/>
    <w:multiLevelType w:val="hybridMultilevel"/>
    <w:tmpl w:val="B706104C"/>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4">
    <w:nsid w:val="784822CC"/>
    <w:multiLevelType w:val="hybridMultilevel"/>
    <w:tmpl w:val="396EA51A"/>
    <w:lvl w:ilvl="0" w:tplc="11AC4194">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5">
    <w:nsid w:val="7A3F1A6E"/>
    <w:multiLevelType w:val="hybridMultilevel"/>
    <w:tmpl w:val="B6905F14"/>
    <w:lvl w:ilvl="0" w:tplc="1AC45484">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35"/>
  </w:num>
  <w:num w:numId="2">
    <w:abstractNumId w:val="25"/>
  </w:num>
  <w:num w:numId="3">
    <w:abstractNumId w:val="35"/>
  </w:num>
  <w:num w:numId="4">
    <w:abstractNumId w:val="25"/>
  </w:num>
  <w:num w:numId="5">
    <w:abstractNumId w:val="26"/>
  </w:num>
  <w:num w:numId="6">
    <w:abstractNumId w:val="31"/>
  </w:num>
  <w:num w:numId="7">
    <w:abstractNumId w:val="10"/>
  </w:num>
  <w:num w:numId="8">
    <w:abstractNumId w:val="11"/>
  </w:num>
  <w:num w:numId="9">
    <w:abstractNumId w:val="16"/>
  </w:num>
  <w:num w:numId="10">
    <w:abstractNumId w:val="0"/>
  </w:num>
  <w:num w:numId="11">
    <w:abstractNumId w:val="28"/>
  </w:num>
  <w:num w:numId="12">
    <w:abstractNumId w:val="7"/>
  </w:num>
  <w:num w:numId="13">
    <w:abstractNumId w:val="3"/>
  </w:num>
  <w:num w:numId="14">
    <w:abstractNumId w:val="20"/>
  </w:num>
  <w:num w:numId="15">
    <w:abstractNumId w:val="29"/>
  </w:num>
  <w:num w:numId="16">
    <w:abstractNumId w:val="30"/>
  </w:num>
  <w:num w:numId="17">
    <w:abstractNumId w:val="17"/>
  </w:num>
  <w:num w:numId="18">
    <w:abstractNumId w:val="9"/>
  </w:num>
  <w:num w:numId="19">
    <w:abstractNumId w:val="13"/>
  </w:num>
  <w:num w:numId="20">
    <w:abstractNumId w:val="34"/>
  </w:num>
  <w:num w:numId="21">
    <w:abstractNumId w:val="4"/>
  </w:num>
  <w:num w:numId="22">
    <w:abstractNumId w:val="6"/>
  </w:num>
  <w:num w:numId="23">
    <w:abstractNumId w:val="23"/>
  </w:num>
  <w:num w:numId="24">
    <w:abstractNumId w:val="24"/>
  </w:num>
  <w:num w:numId="25">
    <w:abstractNumId w:val="33"/>
  </w:num>
  <w:num w:numId="26">
    <w:abstractNumId w:val="32"/>
  </w:num>
  <w:num w:numId="27">
    <w:abstractNumId w:val="12"/>
  </w:num>
  <w:num w:numId="28">
    <w:abstractNumId w:val="2"/>
  </w:num>
  <w:num w:numId="29">
    <w:abstractNumId w:val="27"/>
  </w:num>
  <w:num w:numId="30">
    <w:abstractNumId w:val="8"/>
  </w:num>
  <w:num w:numId="31">
    <w:abstractNumId w:val="15"/>
  </w:num>
  <w:num w:numId="32">
    <w:abstractNumId w:val="5"/>
  </w:num>
  <w:num w:numId="33">
    <w:abstractNumId w:val="22"/>
  </w:num>
  <w:num w:numId="34">
    <w:abstractNumId w:val="18"/>
  </w:num>
  <w:num w:numId="35">
    <w:abstractNumId w:val="19"/>
  </w:num>
  <w:num w:numId="36">
    <w:abstractNumId w:val="21"/>
  </w:num>
  <w:num w:numId="37">
    <w:abstractNumId w:val="1"/>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974"/>
    <w:rsid w:val="00004233"/>
    <w:rsid w:val="000042E6"/>
    <w:rsid w:val="0000451E"/>
    <w:rsid w:val="00007557"/>
    <w:rsid w:val="00025A34"/>
    <w:rsid w:val="000266D8"/>
    <w:rsid w:val="00026754"/>
    <w:rsid w:val="00026758"/>
    <w:rsid w:val="00030D84"/>
    <w:rsid w:val="000320E4"/>
    <w:rsid w:val="00033B5C"/>
    <w:rsid w:val="000355E8"/>
    <w:rsid w:val="00041571"/>
    <w:rsid w:val="00041924"/>
    <w:rsid w:val="00046841"/>
    <w:rsid w:val="000469FE"/>
    <w:rsid w:val="0005214C"/>
    <w:rsid w:val="00060634"/>
    <w:rsid w:val="000752AE"/>
    <w:rsid w:val="00083763"/>
    <w:rsid w:val="0008444D"/>
    <w:rsid w:val="00087B2C"/>
    <w:rsid w:val="00090B56"/>
    <w:rsid w:val="00091854"/>
    <w:rsid w:val="00093CF7"/>
    <w:rsid w:val="000A78F9"/>
    <w:rsid w:val="000B26C7"/>
    <w:rsid w:val="000B3A38"/>
    <w:rsid w:val="000B3FBC"/>
    <w:rsid w:val="000C1246"/>
    <w:rsid w:val="000F589A"/>
    <w:rsid w:val="000F61BE"/>
    <w:rsid w:val="00110501"/>
    <w:rsid w:val="0011224F"/>
    <w:rsid w:val="001122E5"/>
    <w:rsid w:val="001128DB"/>
    <w:rsid w:val="00116777"/>
    <w:rsid w:val="00122018"/>
    <w:rsid w:val="00125ACA"/>
    <w:rsid w:val="00127CF4"/>
    <w:rsid w:val="001301C7"/>
    <w:rsid w:val="00154FF8"/>
    <w:rsid w:val="0016157E"/>
    <w:rsid w:val="0017447B"/>
    <w:rsid w:val="00184AAF"/>
    <w:rsid w:val="0019034A"/>
    <w:rsid w:val="001923A7"/>
    <w:rsid w:val="001A38FB"/>
    <w:rsid w:val="001A5380"/>
    <w:rsid w:val="001B53D0"/>
    <w:rsid w:val="001B65DA"/>
    <w:rsid w:val="001C02DB"/>
    <w:rsid w:val="001C149A"/>
    <w:rsid w:val="001F3F7A"/>
    <w:rsid w:val="00203D55"/>
    <w:rsid w:val="00224EC3"/>
    <w:rsid w:val="002327B9"/>
    <w:rsid w:val="002339BF"/>
    <w:rsid w:val="002353A9"/>
    <w:rsid w:val="00245AC4"/>
    <w:rsid w:val="0025044C"/>
    <w:rsid w:val="00250DCD"/>
    <w:rsid w:val="00254D02"/>
    <w:rsid w:val="0026798D"/>
    <w:rsid w:val="002731DC"/>
    <w:rsid w:val="0028114C"/>
    <w:rsid w:val="00284EE6"/>
    <w:rsid w:val="0029263E"/>
    <w:rsid w:val="00295EB0"/>
    <w:rsid w:val="002A22DC"/>
    <w:rsid w:val="002A3FDB"/>
    <w:rsid w:val="002A4C34"/>
    <w:rsid w:val="002A7799"/>
    <w:rsid w:val="002C09BB"/>
    <w:rsid w:val="002C5277"/>
    <w:rsid w:val="002D24B0"/>
    <w:rsid w:val="002D30BE"/>
    <w:rsid w:val="002D48C0"/>
    <w:rsid w:val="002E2191"/>
    <w:rsid w:val="002E61D6"/>
    <w:rsid w:val="002F1468"/>
    <w:rsid w:val="002F551C"/>
    <w:rsid w:val="00304F9F"/>
    <w:rsid w:val="003051B7"/>
    <w:rsid w:val="003152F2"/>
    <w:rsid w:val="00317F45"/>
    <w:rsid w:val="00324F83"/>
    <w:rsid w:val="00333459"/>
    <w:rsid w:val="003334EC"/>
    <w:rsid w:val="00344509"/>
    <w:rsid w:val="003527C4"/>
    <w:rsid w:val="00353CF1"/>
    <w:rsid w:val="0037256F"/>
    <w:rsid w:val="00382368"/>
    <w:rsid w:val="0038632D"/>
    <w:rsid w:val="00393E4A"/>
    <w:rsid w:val="003A12C8"/>
    <w:rsid w:val="003A2829"/>
    <w:rsid w:val="003A2923"/>
    <w:rsid w:val="003A4EAB"/>
    <w:rsid w:val="003B4799"/>
    <w:rsid w:val="003D1974"/>
    <w:rsid w:val="003D3571"/>
    <w:rsid w:val="003F274D"/>
    <w:rsid w:val="0040512B"/>
    <w:rsid w:val="004200CE"/>
    <w:rsid w:val="00427399"/>
    <w:rsid w:val="004561E1"/>
    <w:rsid w:val="00460B9B"/>
    <w:rsid w:val="0047339D"/>
    <w:rsid w:val="00474368"/>
    <w:rsid w:val="004933D5"/>
    <w:rsid w:val="004A0DC0"/>
    <w:rsid w:val="004A6C98"/>
    <w:rsid w:val="004B398D"/>
    <w:rsid w:val="004B6C5D"/>
    <w:rsid w:val="004C1080"/>
    <w:rsid w:val="004E0B76"/>
    <w:rsid w:val="004E349E"/>
    <w:rsid w:val="004E4B6E"/>
    <w:rsid w:val="004E7BA5"/>
    <w:rsid w:val="004F3C0A"/>
    <w:rsid w:val="005017DB"/>
    <w:rsid w:val="00505C67"/>
    <w:rsid w:val="00515CFF"/>
    <w:rsid w:val="00517AA7"/>
    <w:rsid w:val="00523E51"/>
    <w:rsid w:val="00532D78"/>
    <w:rsid w:val="00537F96"/>
    <w:rsid w:val="005463EE"/>
    <w:rsid w:val="005470EF"/>
    <w:rsid w:val="00550617"/>
    <w:rsid w:val="00552849"/>
    <w:rsid w:val="005567C0"/>
    <w:rsid w:val="00560057"/>
    <w:rsid w:val="005653D1"/>
    <w:rsid w:val="005717FA"/>
    <w:rsid w:val="00590CFE"/>
    <w:rsid w:val="0059347C"/>
    <w:rsid w:val="0059618A"/>
    <w:rsid w:val="00597C46"/>
    <w:rsid w:val="005A0B89"/>
    <w:rsid w:val="005A5951"/>
    <w:rsid w:val="005B1574"/>
    <w:rsid w:val="005B2D89"/>
    <w:rsid w:val="005B45E2"/>
    <w:rsid w:val="005B786D"/>
    <w:rsid w:val="005C0B75"/>
    <w:rsid w:val="005D166F"/>
    <w:rsid w:val="005D58F5"/>
    <w:rsid w:val="005E2DED"/>
    <w:rsid w:val="005F2030"/>
    <w:rsid w:val="005F2704"/>
    <w:rsid w:val="005F7408"/>
    <w:rsid w:val="005F7A99"/>
    <w:rsid w:val="00602647"/>
    <w:rsid w:val="0060511C"/>
    <w:rsid w:val="00607CFD"/>
    <w:rsid w:val="00624A8A"/>
    <w:rsid w:val="00624E21"/>
    <w:rsid w:val="006271DD"/>
    <w:rsid w:val="006320B4"/>
    <w:rsid w:val="00634E1D"/>
    <w:rsid w:val="00644531"/>
    <w:rsid w:val="00657549"/>
    <w:rsid w:val="006673DD"/>
    <w:rsid w:val="006729CA"/>
    <w:rsid w:val="00686F1A"/>
    <w:rsid w:val="006A12A8"/>
    <w:rsid w:val="006A6ECC"/>
    <w:rsid w:val="006B0B4B"/>
    <w:rsid w:val="006B211F"/>
    <w:rsid w:val="006B5474"/>
    <w:rsid w:val="006B6641"/>
    <w:rsid w:val="006B6763"/>
    <w:rsid w:val="006C5D68"/>
    <w:rsid w:val="006C711A"/>
    <w:rsid w:val="006D5AA0"/>
    <w:rsid w:val="006E06CD"/>
    <w:rsid w:val="006E0FDE"/>
    <w:rsid w:val="006E1BD0"/>
    <w:rsid w:val="006E3518"/>
    <w:rsid w:val="006E5ADF"/>
    <w:rsid w:val="006E7085"/>
    <w:rsid w:val="006E7E1C"/>
    <w:rsid w:val="006F7FE0"/>
    <w:rsid w:val="007235A9"/>
    <w:rsid w:val="0073410E"/>
    <w:rsid w:val="00746EBD"/>
    <w:rsid w:val="00750691"/>
    <w:rsid w:val="00751922"/>
    <w:rsid w:val="00751E52"/>
    <w:rsid w:val="00752347"/>
    <w:rsid w:val="00762F37"/>
    <w:rsid w:val="007631C0"/>
    <w:rsid w:val="0077080C"/>
    <w:rsid w:val="00772EFA"/>
    <w:rsid w:val="007743EB"/>
    <w:rsid w:val="00780EC7"/>
    <w:rsid w:val="0078116A"/>
    <w:rsid w:val="00781F6E"/>
    <w:rsid w:val="00786938"/>
    <w:rsid w:val="007A5D2F"/>
    <w:rsid w:val="007A724B"/>
    <w:rsid w:val="007A7855"/>
    <w:rsid w:val="007A78E9"/>
    <w:rsid w:val="007B24C0"/>
    <w:rsid w:val="007B51E8"/>
    <w:rsid w:val="007C04C5"/>
    <w:rsid w:val="007C5558"/>
    <w:rsid w:val="007D38F8"/>
    <w:rsid w:val="007D4BA7"/>
    <w:rsid w:val="007E21D1"/>
    <w:rsid w:val="007E7989"/>
    <w:rsid w:val="007F2957"/>
    <w:rsid w:val="0080012F"/>
    <w:rsid w:val="00805C51"/>
    <w:rsid w:val="00813B15"/>
    <w:rsid w:val="00817D42"/>
    <w:rsid w:val="008216A1"/>
    <w:rsid w:val="00822125"/>
    <w:rsid w:val="008238FF"/>
    <w:rsid w:val="00826954"/>
    <w:rsid w:val="00845222"/>
    <w:rsid w:val="008458EB"/>
    <w:rsid w:val="00846EC4"/>
    <w:rsid w:val="00850AA6"/>
    <w:rsid w:val="00856038"/>
    <w:rsid w:val="00856888"/>
    <w:rsid w:val="00857504"/>
    <w:rsid w:val="00862497"/>
    <w:rsid w:val="00862E77"/>
    <w:rsid w:val="00870E99"/>
    <w:rsid w:val="008765E5"/>
    <w:rsid w:val="008824CA"/>
    <w:rsid w:val="008869E4"/>
    <w:rsid w:val="00892B95"/>
    <w:rsid w:val="008A0722"/>
    <w:rsid w:val="008A4039"/>
    <w:rsid w:val="008A75F3"/>
    <w:rsid w:val="008C59EF"/>
    <w:rsid w:val="008D1A0B"/>
    <w:rsid w:val="008D1B4F"/>
    <w:rsid w:val="008F530F"/>
    <w:rsid w:val="008F5C76"/>
    <w:rsid w:val="00901344"/>
    <w:rsid w:val="00925908"/>
    <w:rsid w:val="0092764D"/>
    <w:rsid w:val="009365AA"/>
    <w:rsid w:val="00950A00"/>
    <w:rsid w:val="00957D5E"/>
    <w:rsid w:val="00961A34"/>
    <w:rsid w:val="00965CB8"/>
    <w:rsid w:val="00966966"/>
    <w:rsid w:val="00967A9A"/>
    <w:rsid w:val="00983A19"/>
    <w:rsid w:val="00987563"/>
    <w:rsid w:val="009A0814"/>
    <w:rsid w:val="009A39CE"/>
    <w:rsid w:val="009B1DB6"/>
    <w:rsid w:val="009C1C74"/>
    <w:rsid w:val="009E1AFD"/>
    <w:rsid w:val="009E4EB9"/>
    <w:rsid w:val="00A12C20"/>
    <w:rsid w:val="00A1663D"/>
    <w:rsid w:val="00A24CDC"/>
    <w:rsid w:val="00A5438F"/>
    <w:rsid w:val="00A54931"/>
    <w:rsid w:val="00A56008"/>
    <w:rsid w:val="00A56648"/>
    <w:rsid w:val="00A61187"/>
    <w:rsid w:val="00A61982"/>
    <w:rsid w:val="00A62566"/>
    <w:rsid w:val="00A64F29"/>
    <w:rsid w:val="00A65D23"/>
    <w:rsid w:val="00A70B68"/>
    <w:rsid w:val="00A716E4"/>
    <w:rsid w:val="00A73EAC"/>
    <w:rsid w:val="00A81E5D"/>
    <w:rsid w:val="00A83386"/>
    <w:rsid w:val="00A862FC"/>
    <w:rsid w:val="00A91115"/>
    <w:rsid w:val="00A9227C"/>
    <w:rsid w:val="00AA34B2"/>
    <w:rsid w:val="00AA6532"/>
    <w:rsid w:val="00AC0087"/>
    <w:rsid w:val="00AC2554"/>
    <w:rsid w:val="00AD5934"/>
    <w:rsid w:val="00AD6399"/>
    <w:rsid w:val="00AF5FCB"/>
    <w:rsid w:val="00AF6D5E"/>
    <w:rsid w:val="00B01729"/>
    <w:rsid w:val="00B0221D"/>
    <w:rsid w:val="00B05EF7"/>
    <w:rsid w:val="00B14B90"/>
    <w:rsid w:val="00B174D2"/>
    <w:rsid w:val="00B20D94"/>
    <w:rsid w:val="00B273FC"/>
    <w:rsid w:val="00B3041F"/>
    <w:rsid w:val="00B306E9"/>
    <w:rsid w:val="00B3511E"/>
    <w:rsid w:val="00B41863"/>
    <w:rsid w:val="00B46A9F"/>
    <w:rsid w:val="00B477DA"/>
    <w:rsid w:val="00B54662"/>
    <w:rsid w:val="00B608DE"/>
    <w:rsid w:val="00B7047F"/>
    <w:rsid w:val="00B71724"/>
    <w:rsid w:val="00B726A4"/>
    <w:rsid w:val="00B7375E"/>
    <w:rsid w:val="00BA0AD0"/>
    <w:rsid w:val="00BA47D6"/>
    <w:rsid w:val="00BA6F91"/>
    <w:rsid w:val="00BA6FAD"/>
    <w:rsid w:val="00BA7ED7"/>
    <w:rsid w:val="00BB5CFE"/>
    <w:rsid w:val="00BC7F78"/>
    <w:rsid w:val="00BD546A"/>
    <w:rsid w:val="00BD5B98"/>
    <w:rsid w:val="00BD651A"/>
    <w:rsid w:val="00BE3CBA"/>
    <w:rsid w:val="00BF276D"/>
    <w:rsid w:val="00BF3A3A"/>
    <w:rsid w:val="00BF6BB6"/>
    <w:rsid w:val="00C020D0"/>
    <w:rsid w:val="00C022E1"/>
    <w:rsid w:val="00C02BA7"/>
    <w:rsid w:val="00C10246"/>
    <w:rsid w:val="00C1359A"/>
    <w:rsid w:val="00C1411A"/>
    <w:rsid w:val="00C16F8F"/>
    <w:rsid w:val="00C22AF9"/>
    <w:rsid w:val="00C26D32"/>
    <w:rsid w:val="00C30AFB"/>
    <w:rsid w:val="00C4141E"/>
    <w:rsid w:val="00C50F24"/>
    <w:rsid w:val="00C515A6"/>
    <w:rsid w:val="00C616E7"/>
    <w:rsid w:val="00C6349C"/>
    <w:rsid w:val="00C72148"/>
    <w:rsid w:val="00C761BA"/>
    <w:rsid w:val="00C82F32"/>
    <w:rsid w:val="00C8339B"/>
    <w:rsid w:val="00C8455D"/>
    <w:rsid w:val="00C91441"/>
    <w:rsid w:val="00C92FB7"/>
    <w:rsid w:val="00C933C6"/>
    <w:rsid w:val="00CB10EF"/>
    <w:rsid w:val="00CB23C2"/>
    <w:rsid w:val="00CB28F7"/>
    <w:rsid w:val="00CD3B2E"/>
    <w:rsid w:val="00CD6ED1"/>
    <w:rsid w:val="00CE1CF1"/>
    <w:rsid w:val="00CF16E0"/>
    <w:rsid w:val="00D03A69"/>
    <w:rsid w:val="00D055E1"/>
    <w:rsid w:val="00D1104E"/>
    <w:rsid w:val="00D13BC6"/>
    <w:rsid w:val="00D20615"/>
    <w:rsid w:val="00D212F2"/>
    <w:rsid w:val="00D26122"/>
    <w:rsid w:val="00D26863"/>
    <w:rsid w:val="00D3490E"/>
    <w:rsid w:val="00D352FC"/>
    <w:rsid w:val="00D37488"/>
    <w:rsid w:val="00D4150C"/>
    <w:rsid w:val="00D42832"/>
    <w:rsid w:val="00D42AC8"/>
    <w:rsid w:val="00D533E6"/>
    <w:rsid w:val="00D60645"/>
    <w:rsid w:val="00D607ED"/>
    <w:rsid w:val="00D732F6"/>
    <w:rsid w:val="00D8720F"/>
    <w:rsid w:val="00D93674"/>
    <w:rsid w:val="00D957E5"/>
    <w:rsid w:val="00D968BE"/>
    <w:rsid w:val="00DB0D46"/>
    <w:rsid w:val="00DB7DC1"/>
    <w:rsid w:val="00DE2AFA"/>
    <w:rsid w:val="00DE4F95"/>
    <w:rsid w:val="00E00319"/>
    <w:rsid w:val="00E02D9C"/>
    <w:rsid w:val="00E07C03"/>
    <w:rsid w:val="00E43E02"/>
    <w:rsid w:val="00E441B8"/>
    <w:rsid w:val="00E56BBF"/>
    <w:rsid w:val="00E600FE"/>
    <w:rsid w:val="00E60CF2"/>
    <w:rsid w:val="00E61D26"/>
    <w:rsid w:val="00E63A8C"/>
    <w:rsid w:val="00E71017"/>
    <w:rsid w:val="00E747D0"/>
    <w:rsid w:val="00E7578D"/>
    <w:rsid w:val="00E91E0C"/>
    <w:rsid w:val="00E93E59"/>
    <w:rsid w:val="00EB6C06"/>
    <w:rsid w:val="00EF1BD0"/>
    <w:rsid w:val="00EF4198"/>
    <w:rsid w:val="00F07F77"/>
    <w:rsid w:val="00F1530A"/>
    <w:rsid w:val="00F16BE0"/>
    <w:rsid w:val="00F225D2"/>
    <w:rsid w:val="00F22CF3"/>
    <w:rsid w:val="00F23AF0"/>
    <w:rsid w:val="00F24CA7"/>
    <w:rsid w:val="00F275A8"/>
    <w:rsid w:val="00F30EE6"/>
    <w:rsid w:val="00F35C67"/>
    <w:rsid w:val="00F4662C"/>
    <w:rsid w:val="00F54021"/>
    <w:rsid w:val="00F55FD0"/>
    <w:rsid w:val="00F60D80"/>
    <w:rsid w:val="00F71E24"/>
    <w:rsid w:val="00F74C87"/>
    <w:rsid w:val="00F95298"/>
    <w:rsid w:val="00FA4389"/>
    <w:rsid w:val="00FA6FD4"/>
    <w:rsid w:val="00FB3C61"/>
    <w:rsid w:val="00FB7468"/>
    <w:rsid w:val="00FC0550"/>
    <w:rsid w:val="00FC55F5"/>
    <w:rsid w:val="00FD5B09"/>
    <w:rsid w:val="00FE1326"/>
    <w:rsid w:val="00FE4E31"/>
    <w:rsid w:val="00FF208D"/>
    <w:rsid w:val="00FF37A5"/>
    <w:rsid w:val="00FF4473"/>
    <w:rsid w:val="00FF4862"/>
    <w:rsid w:val="00FF663C"/>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AFD"/>
    <w:pPr>
      <w:spacing w:after="200" w:line="276" w:lineRule="auto"/>
    </w:pPr>
    <w:rPr>
      <w:sz w:val="22"/>
      <w:szCs w:val="22"/>
    </w:rPr>
  </w:style>
  <w:style w:type="paragraph" w:styleId="Ttulo1">
    <w:name w:val="heading 1"/>
    <w:aliases w:val="titulo 1"/>
    <w:basedOn w:val="Normal"/>
    <w:next w:val="Normal"/>
    <w:link w:val="Ttulo1Car"/>
    <w:autoRedefine/>
    <w:uiPriority w:val="9"/>
    <w:qFormat/>
    <w:rsid w:val="00CD3B2E"/>
    <w:pPr>
      <w:keepNext/>
      <w:keepLines/>
      <w:spacing w:before="480" w:after="0"/>
      <w:outlineLvl w:val="0"/>
    </w:pPr>
    <w:rPr>
      <w:rFonts w:eastAsia="Times New Roman" w:cs="Calibri"/>
      <w:b/>
      <w:bCs/>
      <w:color w:val="365F91"/>
    </w:rPr>
  </w:style>
  <w:style w:type="paragraph" w:styleId="Ttulo2">
    <w:name w:val="heading 2"/>
    <w:basedOn w:val="Normal"/>
    <w:next w:val="Normal"/>
    <w:link w:val="Ttulo2Car"/>
    <w:uiPriority w:val="9"/>
    <w:unhideWhenUsed/>
    <w:qFormat/>
    <w:rsid w:val="009E1AFD"/>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
    <w:unhideWhenUsed/>
    <w:qFormat/>
    <w:rsid w:val="009E1AFD"/>
    <w:pPr>
      <w:keepNext/>
      <w:keepLines/>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
    <w:unhideWhenUsed/>
    <w:qFormat/>
    <w:rsid w:val="009E1AFD"/>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
    <w:unhideWhenUsed/>
    <w:qFormat/>
    <w:rsid w:val="009E1AFD"/>
    <w:pPr>
      <w:keepNext/>
      <w:keepLines/>
      <w:spacing w:before="200" w:after="0"/>
      <w:outlineLvl w:val="4"/>
    </w:pPr>
    <w:rPr>
      <w:rFonts w:ascii="Cambria" w:eastAsia="Times New Roman"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itulo 1 Car"/>
    <w:link w:val="Ttulo1"/>
    <w:uiPriority w:val="9"/>
    <w:rsid w:val="00CD3B2E"/>
    <w:rPr>
      <w:rFonts w:eastAsia="Times New Roman" w:cs="Calibri"/>
      <w:b/>
      <w:bCs/>
      <w:color w:val="365F91"/>
      <w:lang w:eastAsia="es-EC"/>
    </w:rPr>
  </w:style>
  <w:style w:type="paragraph" w:customStyle="1" w:styleId="MickeyDazTtulo">
    <w:name w:val="Mickey Dïaz Título"/>
    <w:basedOn w:val="Prrafodelista"/>
    <w:link w:val="MickeyDazTtuloCar"/>
    <w:qFormat/>
    <w:rsid w:val="009E1AFD"/>
    <w:pPr>
      <w:spacing w:after="0" w:line="240" w:lineRule="auto"/>
      <w:ind w:left="360" w:hanging="360"/>
    </w:pPr>
    <w:rPr>
      <w:rFonts w:eastAsia="Times New Roman"/>
      <w:color w:val="1F497D"/>
      <w:sz w:val="24"/>
      <w:lang w:val="es-ES" w:eastAsia="es-ES"/>
    </w:rPr>
  </w:style>
  <w:style w:type="character" w:customStyle="1" w:styleId="MickeyDazTtuloCar">
    <w:name w:val="Mickey Dïaz Título Car"/>
    <w:link w:val="MickeyDazTtulo"/>
    <w:rsid w:val="009E1AFD"/>
    <w:rPr>
      <w:rFonts w:ascii="Calibri" w:eastAsia="Times New Roman" w:hAnsi="Calibri" w:cs="Times New Roman"/>
      <w:color w:val="1F497D"/>
      <w:sz w:val="24"/>
      <w:lang w:val="es-ES" w:eastAsia="es-ES"/>
    </w:rPr>
  </w:style>
  <w:style w:type="paragraph" w:styleId="Prrafodelista">
    <w:name w:val="List Paragraph"/>
    <w:basedOn w:val="Normal"/>
    <w:link w:val="PrrafodelistaCar"/>
    <w:uiPriority w:val="34"/>
    <w:qFormat/>
    <w:rsid w:val="009E1AFD"/>
    <w:pPr>
      <w:ind w:left="720"/>
      <w:contextualSpacing/>
    </w:pPr>
  </w:style>
  <w:style w:type="paragraph" w:customStyle="1" w:styleId="MickeyDaz-Subttulo">
    <w:name w:val="Mickey Díaz - Subtítulo"/>
    <w:basedOn w:val="Prrafodelista"/>
    <w:link w:val="MickeyDaz-SubttuloCar"/>
    <w:qFormat/>
    <w:rsid w:val="009E1AFD"/>
    <w:pPr>
      <w:spacing w:after="0" w:line="240" w:lineRule="auto"/>
      <w:ind w:left="1080" w:hanging="360"/>
      <w:jc w:val="both"/>
    </w:pPr>
    <w:rPr>
      <w:rFonts w:eastAsia="Times New Roman"/>
      <w:b/>
      <w:color w:val="1F497D"/>
      <w:lang w:val="es-ES" w:eastAsia="es-ES"/>
    </w:rPr>
  </w:style>
  <w:style w:type="character" w:customStyle="1" w:styleId="MickeyDaz-SubttuloCar">
    <w:name w:val="Mickey Díaz - Subtítulo Car"/>
    <w:link w:val="MickeyDaz-Subttulo"/>
    <w:rsid w:val="009E1AFD"/>
    <w:rPr>
      <w:rFonts w:ascii="Calibri" w:eastAsia="Times New Roman" w:hAnsi="Calibri" w:cs="Times New Roman"/>
      <w:b/>
      <w:color w:val="1F497D"/>
      <w:lang w:val="es-ES" w:eastAsia="es-ES"/>
    </w:rPr>
  </w:style>
  <w:style w:type="character" w:customStyle="1" w:styleId="Ttulo2Car">
    <w:name w:val="Título 2 Car"/>
    <w:link w:val="Ttulo2"/>
    <w:uiPriority w:val="9"/>
    <w:rsid w:val="009E1AFD"/>
    <w:rPr>
      <w:rFonts w:ascii="Cambria" w:eastAsia="Times New Roman" w:hAnsi="Cambria" w:cs="Times New Roman"/>
      <w:b/>
      <w:bCs/>
      <w:color w:val="4F81BD"/>
      <w:sz w:val="26"/>
      <w:szCs w:val="26"/>
      <w:lang w:eastAsia="es-EC"/>
    </w:rPr>
  </w:style>
  <w:style w:type="character" w:customStyle="1" w:styleId="Ttulo3Car">
    <w:name w:val="Título 3 Car"/>
    <w:link w:val="Ttulo3"/>
    <w:uiPriority w:val="9"/>
    <w:rsid w:val="009E1AFD"/>
    <w:rPr>
      <w:rFonts w:ascii="Cambria" w:eastAsia="Times New Roman" w:hAnsi="Cambria" w:cs="Times New Roman"/>
      <w:b/>
      <w:bCs/>
      <w:color w:val="4F81BD"/>
      <w:lang w:eastAsia="es-EC"/>
    </w:rPr>
  </w:style>
  <w:style w:type="character" w:customStyle="1" w:styleId="Ttulo4Car">
    <w:name w:val="Título 4 Car"/>
    <w:link w:val="Ttulo4"/>
    <w:uiPriority w:val="9"/>
    <w:rsid w:val="009E1AFD"/>
    <w:rPr>
      <w:rFonts w:ascii="Cambria" w:eastAsia="Times New Roman" w:hAnsi="Cambria" w:cs="Times New Roman"/>
      <w:b/>
      <w:bCs/>
      <w:i/>
      <w:iCs/>
      <w:color w:val="4F81BD"/>
      <w:lang w:eastAsia="es-EC"/>
    </w:rPr>
  </w:style>
  <w:style w:type="character" w:customStyle="1" w:styleId="Ttulo5Car">
    <w:name w:val="Título 5 Car"/>
    <w:link w:val="Ttulo5"/>
    <w:uiPriority w:val="9"/>
    <w:rsid w:val="009E1AFD"/>
    <w:rPr>
      <w:rFonts w:ascii="Cambria" w:eastAsia="Times New Roman" w:hAnsi="Cambria" w:cs="Times New Roman"/>
      <w:color w:val="243F60"/>
      <w:lang w:eastAsia="es-EC"/>
    </w:rPr>
  </w:style>
  <w:style w:type="paragraph" w:styleId="TDC1">
    <w:name w:val="toc 1"/>
    <w:basedOn w:val="Normal"/>
    <w:next w:val="Normal"/>
    <w:autoRedefine/>
    <w:uiPriority w:val="39"/>
    <w:unhideWhenUsed/>
    <w:qFormat/>
    <w:rsid w:val="009E1AFD"/>
    <w:pPr>
      <w:spacing w:after="100"/>
    </w:pPr>
    <w:rPr>
      <w:rFonts w:eastAsia="Times New Roman"/>
    </w:rPr>
  </w:style>
  <w:style w:type="paragraph" w:styleId="TDC2">
    <w:name w:val="toc 2"/>
    <w:basedOn w:val="Normal"/>
    <w:next w:val="Normal"/>
    <w:autoRedefine/>
    <w:uiPriority w:val="39"/>
    <w:unhideWhenUsed/>
    <w:qFormat/>
    <w:rsid w:val="009E1AFD"/>
    <w:pPr>
      <w:spacing w:after="100"/>
      <w:ind w:left="220"/>
    </w:pPr>
    <w:rPr>
      <w:rFonts w:eastAsia="Times New Roman"/>
    </w:rPr>
  </w:style>
  <w:style w:type="paragraph" w:styleId="TDC3">
    <w:name w:val="toc 3"/>
    <w:basedOn w:val="Normal"/>
    <w:next w:val="Normal"/>
    <w:autoRedefine/>
    <w:uiPriority w:val="39"/>
    <w:unhideWhenUsed/>
    <w:qFormat/>
    <w:rsid w:val="009E1AFD"/>
    <w:pPr>
      <w:spacing w:after="100"/>
      <w:ind w:left="440"/>
    </w:pPr>
    <w:rPr>
      <w:rFonts w:eastAsia="Times New Roman"/>
    </w:rPr>
  </w:style>
  <w:style w:type="paragraph" w:styleId="Sinespaciado">
    <w:name w:val="No Spacing"/>
    <w:uiPriority w:val="1"/>
    <w:qFormat/>
    <w:rsid w:val="009E1AFD"/>
    <w:rPr>
      <w:rFonts w:eastAsia="Times New Roman"/>
      <w:sz w:val="22"/>
      <w:szCs w:val="22"/>
    </w:rPr>
  </w:style>
  <w:style w:type="character" w:customStyle="1" w:styleId="PrrafodelistaCar">
    <w:name w:val="Párrafo de lista Car"/>
    <w:link w:val="Prrafodelista"/>
    <w:uiPriority w:val="34"/>
    <w:rsid w:val="009E1AFD"/>
    <w:rPr>
      <w:rFonts w:ascii="Calibri" w:hAnsi="Calibri"/>
      <w:lang w:eastAsia="es-EC"/>
    </w:rPr>
  </w:style>
  <w:style w:type="character" w:styleId="nfasisintenso">
    <w:name w:val="Intense Emphasis"/>
    <w:aliases w:val="Mickey Título"/>
    <w:uiPriority w:val="21"/>
    <w:qFormat/>
    <w:rsid w:val="009E1AFD"/>
    <w:rPr>
      <w:b/>
      <w:bCs/>
      <w:i/>
      <w:iCs/>
      <w:color w:val="4F81BD"/>
    </w:rPr>
  </w:style>
  <w:style w:type="paragraph" w:styleId="TtulodeTDC">
    <w:name w:val="TOC Heading"/>
    <w:basedOn w:val="Ttulo1"/>
    <w:next w:val="Normal"/>
    <w:uiPriority w:val="39"/>
    <w:unhideWhenUsed/>
    <w:qFormat/>
    <w:rsid w:val="009E1AFD"/>
    <w:pPr>
      <w:outlineLvl w:val="9"/>
    </w:pPr>
  </w:style>
  <w:style w:type="character" w:customStyle="1" w:styleId="apple-converted-space">
    <w:name w:val="apple-converted-space"/>
    <w:basedOn w:val="Fuentedeprrafopredeter"/>
    <w:rsid w:val="006B211F"/>
  </w:style>
  <w:style w:type="character" w:styleId="nfasis">
    <w:name w:val="Emphasis"/>
    <w:uiPriority w:val="20"/>
    <w:qFormat/>
    <w:rsid w:val="006B211F"/>
    <w:rPr>
      <w:i/>
      <w:iCs/>
    </w:rPr>
  </w:style>
  <w:style w:type="paragraph" w:styleId="Textodeglobo">
    <w:name w:val="Balloon Text"/>
    <w:basedOn w:val="Normal"/>
    <w:link w:val="TextodegloboCar"/>
    <w:uiPriority w:val="99"/>
    <w:semiHidden/>
    <w:unhideWhenUsed/>
    <w:rsid w:val="006729C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6729CA"/>
    <w:rPr>
      <w:rFonts w:ascii="Tahoma" w:hAnsi="Tahoma" w:cs="Tahoma"/>
      <w:sz w:val="16"/>
      <w:szCs w:val="16"/>
      <w:lang w:eastAsia="es-EC"/>
    </w:rPr>
  </w:style>
  <w:style w:type="paragraph" w:styleId="NormalWeb">
    <w:name w:val="Normal (Web)"/>
    <w:basedOn w:val="Normal"/>
    <w:uiPriority w:val="99"/>
    <w:rsid w:val="00552849"/>
    <w:pPr>
      <w:spacing w:before="100" w:beforeAutospacing="1" w:after="100" w:afterAutospacing="1" w:line="240" w:lineRule="auto"/>
    </w:pPr>
    <w:rPr>
      <w:rFonts w:ascii="Times New Roman" w:eastAsia="Tw Cen MT" w:hAnsi="Times New Roman"/>
      <w:sz w:val="24"/>
      <w:szCs w:val="24"/>
      <w:lang w:val="es-ES" w:eastAsia="es-ES"/>
    </w:rPr>
  </w:style>
  <w:style w:type="paragraph" w:styleId="Textosinformato">
    <w:name w:val="Plain Text"/>
    <w:basedOn w:val="Normal"/>
    <w:link w:val="TextosinformatoCar"/>
    <w:uiPriority w:val="99"/>
    <w:unhideWhenUsed/>
    <w:rsid w:val="00552849"/>
    <w:pPr>
      <w:spacing w:after="0" w:line="240" w:lineRule="auto"/>
    </w:pPr>
    <w:rPr>
      <w:szCs w:val="21"/>
      <w:lang w:eastAsia="en-US"/>
    </w:rPr>
  </w:style>
  <w:style w:type="character" w:customStyle="1" w:styleId="TextosinformatoCar">
    <w:name w:val="Texto sin formato Car"/>
    <w:link w:val="Textosinformato"/>
    <w:uiPriority w:val="99"/>
    <w:rsid w:val="00552849"/>
    <w:rPr>
      <w:rFonts w:ascii="Calibri" w:hAnsi="Calibri"/>
      <w:szCs w:val="21"/>
    </w:rPr>
  </w:style>
  <w:style w:type="character" w:styleId="Hipervnculo">
    <w:name w:val="Hyperlink"/>
    <w:uiPriority w:val="99"/>
    <w:unhideWhenUsed/>
    <w:rsid w:val="00030D84"/>
    <w:rPr>
      <w:color w:val="0000FF"/>
      <w:u w:val="single"/>
    </w:rPr>
  </w:style>
  <w:style w:type="paragraph" w:styleId="Textonotapie">
    <w:name w:val="footnote text"/>
    <w:basedOn w:val="Normal"/>
    <w:link w:val="TextonotapieCar"/>
    <w:uiPriority w:val="99"/>
    <w:unhideWhenUsed/>
    <w:rsid w:val="00004233"/>
    <w:pPr>
      <w:spacing w:after="0" w:line="240" w:lineRule="auto"/>
    </w:pPr>
    <w:rPr>
      <w:sz w:val="20"/>
      <w:szCs w:val="20"/>
      <w:lang w:eastAsia="en-US"/>
    </w:rPr>
  </w:style>
  <w:style w:type="character" w:customStyle="1" w:styleId="TextonotapieCar">
    <w:name w:val="Texto nota pie Car"/>
    <w:link w:val="Textonotapie"/>
    <w:uiPriority w:val="99"/>
    <w:rsid w:val="00004233"/>
    <w:rPr>
      <w:rFonts w:ascii="Calibri" w:eastAsia="Calibri" w:hAnsi="Calibri" w:cs="Times New Roman"/>
      <w:sz w:val="20"/>
      <w:szCs w:val="20"/>
    </w:rPr>
  </w:style>
  <w:style w:type="character" w:styleId="Refdenotaalpie">
    <w:name w:val="footnote reference"/>
    <w:uiPriority w:val="99"/>
    <w:unhideWhenUsed/>
    <w:rsid w:val="00004233"/>
    <w:rPr>
      <w:vertAlign w:val="superscript"/>
    </w:rPr>
  </w:style>
  <w:style w:type="paragraph" w:styleId="Textoindependiente">
    <w:name w:val="Body Text"/>
    <w:basedOn w:val="Normal"/>
    <w:link w:val="TextoindependienteCar"/>
    <w:semiHidden/>
    <w:rsid w:val="00CF16E0"/>
    <w:pPr>
      <w:spacing w:after="0" w:line="240" w:lineRule="auto"/>
    </w:pPr>
    <w:rPr>
      <w:rFonts w:ascii="Times New Roman" w:eastAsia="Times New Roman" w:hAnsi="Times New Roman"/>
      <w:sz w:val="16"/>
      <w:szCs w:val="20"/>
      <w:lang w:eastAsia="es-ES"/>
    </w:rPr>
  </w:style>
  <w:style w:type="character" w:customStyle="1" w:styleId="TextoindependienteCar">
    <w:name w:val="Texto independiente Car"/>
    <w:link w:val="Textoindependiente"/>
    <w:semiHidden/>
    <w:rsid w:val="00CF16E0"/>
    <w:rPr>
      <w:rFonts w:ascii="Times New Roman" w:eastAsia="Times New Roman" w:hAnsi="Times New Roman" w:cs="Times New Roman"/>
      <w:sz w:val="16"/>
      <w:szCs w:val="20"/>
      <w:lang w:eastAsia="es-ES"/>
    </w:rPr>
  </w:style>
  <w:style w:type="paragraph" w:customStyle="1" w:styleId="Default">
    <w:name w:val="Default"/>
    <w:rsid w:val="00CF16E0"/>
    <w:pPr>
      <w:autoSpaceDE w:val="0"/>
      <w:autoSpaceDN w:val="0"/>
      <w:adjustRightInd w:val="0"/>
    </w:pPr>
    <w:rPr>
      <w:rFonts w:ascii="Arial" w:hAnsi="Arial" w:cs="Arial"/>
      <w:color w:val="000000"/>
      <w:sz w:val="24"/>
      <w:szCs w:val="24"/>
      <w:lang w:val="es-MX" w:eastAsia="es-MX"/>
    </w:rPr>
  </w:style>
  <w:style w:type="table" w:styleId="Tablaweb3">
    <w:name w:val="Table Web 3"/>
    <w:basedOn w:val="Tablanormal"/>
    <w:rsid w:val="002D24B0"/>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cabezado">
    <w:name w:val="header"/>
    <w:basedOn w:val="Normal"/>
    <w:link w:val="EncabezadoCar"/>
    <w:uiPriority w:val="99"/>
    <w:unhideWhenUsed/>
    <w:rsid w:val="005A0B89"/>
    <w:pPr>
      <w:tabs>
        <w:tab w:val="center" w:pos="4419"/>
        <w:tab w:val="right" w:pos="8838"/>
      </w:tabs>
      <w:spacing w:after="0" w:line="240" w:lineRule="auto"/>
    </w:pPr>
  </w:style>
  <w:style w:type="character" w:customStyle="1" w:styleId="EncabezadoCar">
    <w:name w:val="Encabezado Car"/>
    <w:link w:val="Encabezado"/>
    <w:uiPriority w:val="99"/>
    <w:rsid w:val="005A0B89"/>
    <w:rPr>
      <w:rFonts w:ascii="Calibri" w:hAnsi="Calibri"/>
      <w:lang w:eastAsia="es-EC"/>
    </w:rPr>
  </w:style>
  <w:style w:type="paragraph" w:styleId="Piedepgina">
    <w:name w:val="footer"/>
    <w:basedOn w:val="Normal"/>
    <w:link w:val="PiedepginaCar"/>
    <w:uiPriority w:val="99"/>
    <w:unhideWhenUsed/>
    <w:rsid w:val="005A0B89"/>
    <w:pPr>
      <w:tabs>
        <w:tab w:val="center" w:pos="4419"/>
        <w:tab w:val="right" w:pos="8838"/>
      </w:tabs>
      <w:spacing w:after="0" w:line="240" w:lineRule="auto"/>
    </w:pPr>
  </w:style>
  <w:style w:type="character" w:customStyle="1" w:styleId="PiedepginaCar">
    <w:name w:val="Pie de página Car"/>
    <w:link w:val="Piedepgina"/>
    <w:uiPriority w:val="99"/>
    <w:rsid w:val="005A0B89"/>
    <w:rPr>
      <w:rFonts w:ascii="Calibri" w:hAnsi="Calibri"/>
      <w:lang w:eastAsia="es-EC"/>
    </w:rPr>
  </w:style>
  <w:style w:type="paragraph" w:customStyle="1" w:styleId="CEC00D05F4354E1094F28D836D46DBBF">
    <w:name w:val="CEC00D05F4354E1094F28D836D46DBBF"/>
    <w:rsid w:val="00C616E7"/>
    <w:pPr>
      <w:spacing w:after="200" w:line="276" w:lineRule="auto"/>
    </w:pPr>
    <w:rPr>
      <w:rFonts w:eastAsia="Times New Roman"/>
      <w:sz w:val="22"/>
      <w:szCs w:val="22"/>
    </w:rPr>
  </w:style>
  <w:style w:type="character" w:customStyle="1" w:styleId="estilo4">
    <w:name w:val="estilo4"/>
    <w:basedOn w:val="Fuentedeprrafopredeter"/>
    <w:rsid w:val="00A64F29"/>
  </w:style>
  <w:style w:type="paragraph" w:styleId="Textocomentario">
    <w:name w:val="annotation text"/>
    <w:basedOn w:val="Normal"/>
    <w:link w:val="TextocomentarioCar"/>
    <w:uiPriority w:val="99"/>
    <w:unhideWhenUsed/>
    <w:rsid w:val="00A64F29"/>
    <w:pPr>
      <w:spacing w:after="0" w:line="240" w:lineRule="auto"/>
    </w:pPr>
    <w:rPr>
      <w:rFonts w:ascii="Times New Roman" w:eastAsia="Batang" w:hAnsi="Times New Roman"/>
      <w:sz w:val="20"/>
      <w:szCs w:val="20"/>
      <w:lang w:val="es-ES" w:eastAsia="ko-KR"/>
    </w:rPr>
  </w:style>
  <w:style w:type="character" w:customStyle="1" w:styleId="TextocomentarioCar">
    <w:name w:val="Texto comentario Car"/>
    <w:link w:val="Textocomentario"/>
    <w:uiPriority w:val="99"/>
    <w:rsid w:val="00A64F29"/>
    <w:rPr>
      <w:rFonts w:ascii="Times New Roman" w:eastAsia="Batang" w:hAnsi="Times New Roman" w:cs="Times New Roman"/>
      <w:sz w:val="20"/>
      <w:szCs w:val="20"/>
      <w:lang w:val="es-ES" w:eastAsia="ko-KR"/>
    </w:rPr>
  </w:style>
  <w:style w:type="character" w:styleId="Refdecomentario">
    <w:name w:val="annotation reference"/>
    <w:uiPriority w:val="99"/>
    <w:semiHidden/>
    <w:unhideWhenUsed/>
    <w:rsid w:val="00224EC3"/>
    <w:rPr>
      <w:sz w:val="16"/>
      <w:szCs w:val="16"/>
    </w:rPr>
  </w:style>
  <w:style w:type="paragraph" w:styleId="Asuntodelcomentario">
    <w:name w:val="annotation subject"/>
    <w:basedOn w:val="Textocomentario"/>
    <w:next w:val="Textocomentario"/>
    <w:link w:val="AsuntodelcomentarioCar"/>
    <w:uiPriority w:val="99"/>
    <w:semiHidden/>
    <w:unhideWhenUsed/>
    <w:rsid w:val="00224EC3"/>
    <w:pPr>
      <w:spacing w:after="200"/>
    </w:pPr>
    <w:rPr>
      <w:rFonts w:ascii="Calibri" w:eastAsia="Calibri" w:hAnsi="Calibri"/>
      <w:b/>
      <w:bCs/>
      <w:lang w:val="es-EC" w:eastAsia="es-EC"/>
    </w:rPr>
  </w:style>
  <w:style w:type="character" w:customStyle="1" w:styleId="AsuntodelcomentarioCar">
    <w:name w:val="Asunto del comentario Car"/>
    <w:link w:val="Asuntodelcomentario"/>
    <w:uiPriority w:val="99"/>
    <w:semiHidden/>
    <w:rsid w:val="00224EC3"/>
    <w:rPr>
      <w:rFonts w:ascii="Calibri" w:eastAsia="Batang" w:hAnsi="Calibri" w:cs="Times New Roman"/>
      <w:b/>
      <w:bCs/>
      <w:sz w:val="20"/>
      <w:szCs w:val="20"/>
      <w:lang w:val="es-ES" w:eastAsia="es-EC"/>
    </w:rPr>
  </w:style>
  <w:style w:type="paragraph" w:customStyle="1" w:styleId="default0">
    <w:name w:val="default"/>
    <w:basedOn w:val="Normal"/>
    <w:rsid w:val="00CD3B2E"/>
    <w:pPr>
      <w:autoSpaceDE w:val="0"/>
      <w:autoSpaceDN w:val="0"/>
      <w:spacing w:after="0" w:line="240" w:lineRule="auto"/>
    </w:pPr>
    <w:rPr>
      <w:rFonts w:ascii="Arial" w:hAnsi="Arial" w:cs="Arial"/>
      <w:color w:val="000000"/>
      <w:sz w:val="24"/>
      <w:szCs w:val="24"/>
      <w:lang w:val="en-US" w:eastAsia="en-US"/>
    </w:rPr>
  </w:style>
  <w:style w:type="character" w:styleId="Textodelmarcadordeposicin">
    <w:name w:val="Placeholder Text"/>
    <w:uiPriority w:val="99"/>
    <w:semiHidden/>
    <w:rsid w:val="006F7FE0"/>
    <w:rPr>
      <w:color w:val="808080"/>
    </w:rPr>
  </w:style>
  <w:style w:type="character" w:styleId="Hipervnculovisitado">
    <w:name w:val="FollowedHyperlink"/>
    <w:basedOn w:val="Fuentedeprrafopredeter"/>
    <w:uiPriority w:val="99"/>
    <w:semiHidden/>
    <w:unhideWhenUsed/>
    <w:rsid w:val="0002675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AFD"/>
    <w:pPr>
      <w:spacing w:after="200" w:line="276" w:lineRule="auto"/>
    </w:pPr>
    <w:rPr>
      <w:sz w:val="22"/>
      <w:szCs w:val="22"/>
    </w:rPr>
  </w:style>
  <w:style w:type="paragraph" w:styleId="Ttulo1">
    <w:name w:val="heading 1"/>
    <w:aliases w:val="titulo 1"/>
    <w:basedOn w:val="Normal"/>
    <w:next w:val="Normal"/>
    <w:link w:val="Ttulo1Car"/>
    <w:autoRedefine/>
    <w:uiPriority w:val="9"/>
    <w:qFormat/>
    <w:rsid w:val="00CD3B2E"/>
    <w:pPr>
      <w:keepNext/>
      <w:keepLines/>
      <w:spacing w:before="480" w:after="0"/>
      <w:outlineLvl w:val="0"/>
    </w:pPr>
    <w:rPr>
      <w:rFonts w:eastAsia="Times New Roman" w:cs="Calibri"/>
      <w:b/>
      <w:bCs/>
      <w:color w:val="365F91"/>
    </w:rPr>
  </w:style>
  <w:style w:type="paragraph" w:styleId="Ttulo2">
    <w:name w:val="heading 2"/>
    <w:basedOn w:val="Normal"/>
    <w:next w:val="Normal"/>
    <w:link w:val="Ttulo2Car"/>
    <w:uiPriority w:val="9"/>
    <w:unhideWhenUsed/>
    <w:qFormat/>
    <w:rsid w:val="009E1AFD"/>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
    <w:unhideWhenUsed/>
    <w:qFormat/>
    <w:rsid w:val="009E1AFD"/>
    <w:pPr>
      <w:keepNext/>
      <w:keepLines/>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
    <w:unhideWhenUsed/>
    <w:qFormat/>
    <w:rsid w:val="009E1AFD"/>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
    <w:unhideWhenUsed/>
    <w:qFormat/>
    <w:rsid w:val="009E1AFD"/>
    <w:pPr>
      <w:keepNext/>
      <w:keepLines/>
      <w:spacing w:before="200" w:after="0"/>
      <w:outlineLvl w:val="4"/>
    </w:pPr>
    <w:rPr>
      <w:rFonts w:ascii="Cambria" w:eastAsia="Times New Roman"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itulo 1 Car"/>
    <w:link w:val="Ttulo1"/>
    <w:uiPriority w:val="9"/>
    <w:rsid w:val="00CD3B2E"/>
    <w:rPr>
      <w:rFonts w:eastAsia="Times New Roman" w:cs="Calibri"/>
      <w:b/>
      <w:bCs/>
      <w:color w:val="365F91"/>
      <w:lang w:eastAsia="es-EC"/>
    </w:rPr>
  </w:style>
  <w:style w:type="paragraph" w:customStyle="1" w:styleId="MickeyDazTtulo">
    <w:name w:val="Mickey Dïaz Título"/>
    <w:basedOn w:val="Prrafodelista"/>
    <w:link w:val="MickeyDazTtuloCar"/>
    <w:qFormat/>
    <w:rsid w:val="009E1AFD"/>
    <w:pPr>
      <w:spacing w:after="0" w:line="240" w:lineRule="auto"/>
      <w:ind w:left="360" w:hanging="360"/>
    </w:pPr>
    <w:rPr>
      <w:rFonts w:eastAsia="Times New Roman"/>
      <w:color w:val="1F497D"/>
      <w:sz w:val="24"/>
      <w:lang w:val="es-ES" w:eastAsia="es-ES"/>
    </w:rPr>
  </w:style>
  <w:style w:type="character" w:customStyle="1" w:styleId="MickeyDazTtuloCar">
    <w:name w:val="Mickey Dïaz Título Car"/>
    <w:link w:val="MickeyDazTtulo"/>
    <w:rsid w:val="009E1AFD"/>
    <w:rPr>
      <w:rFonts w:ascii="Calibri" w:eastAsia="Times New Roman" w:hAnsi="Calibri" w:cs="Times New Roman"/>
      <w:color w:val="1F497D"/>
      <w:sz w:val="24"/>
      <w:lang w:val="es-ES" w:eastAsia="es-ES"/>
    </w:rPr>
  </w:style>
  <w:style w:type="paragraph" w:styleId="Prrafodelista">
    <w:name w:val="List Paragraph"/>
    <w:basedOn w:val="Normal"/>
    <w:link w:val="PrrafodelistaCar"/>
    <w:uiPriority w:val="34"/>
    <w:qFormat/>
    <w:rsid w:val="009E1AFD"/>
    <w:pPr>
      <w:ind w:left="720"/>
      <w:contextualSpacing/>
    </w:pPr>
  </w:style>
  <w:style w:type="paragraph" w:customStyle="1" w:styleId="MickeyDaz-Subttulo">
    <w:name w:val="Mickey Díaz - Subtítulo"/>
    <w:basedOn w:val="Prrafodelista"/>
    <w:link w:val="MickeyDaz-SubttuloCar"/>
    <w:qFormat/>
    <w:rsid w:val="009E1AFD"/>
    <w:pPr>
      <w:spacing w:after="0" w:line="240" w:lineRule="auto"/>
      <w:ind w:left="1080" w:hanging="360"/>
      <w:jc w:val="both"/>
    </w:pPr>
    <w:rPr>
      <w:rFonts w:eastAsia="Times New Roman"/>
      <w:b/>
      <w:color w:val="1F497D"/>
      <w:lang w:val="es-ES" w:eastAsia="es-ES"/>
    </w:rPr>
  </w:style>
  <w:style w:type="character" w:customStyle="1" w:styleId="MickeyDaz-SubttuloCar">
    <w:name w:val="Mickey Díaz - Subtítulo Car"/>
    <w:link w:val="MickeyDaz-Subttulo"/>
    <w:rsid w:val="009E1AFD"/>
    <w:rPr>
      <w:rFonts w:ascii="Calibri" w:eastAsia="Times New Roman" w:hAnsi="Calibri" w:cs="Times New Roman"/>
      <w:b/>
      <w:color w:val="1F497D"/>
      <w:lang w:val="es-ES" w:eastAsia="es-ES"/>
    </w:rPr>
  </w:style>
  <w:style w:type="character" w:customStyle="1" w:styleId="Ttulo2Car">
    <w:name w:val="Título 2 Car"/>
    <w:link w:val="Ttulo2"/>
    <w:uiPriority w:val="9"/>
    <w:rsid w:val="009E1AFD"/>
    <w:rPr>
      <w:rFonts w:ascii="Cambria" w:eastAsia="Times New Roman" w:hAnsi="Cambria" w:cs="Times New Roman"/>
      <w:b/>
      <w:bCs/>
      <w:color w:val="4F81BD"/>
      <w:sz w:val="26"/>
      <w:szCs w:val="26"/>
      <w:lang w:eastAsia="es-EC"/>
    </w:rPr>
  </w:style>
  <w:style w:type="character" w:customStyle="1" w:styleId="Ttulo3Car">
    <w:name w:val="Título 3 Car"/>
    <w:link w:val="Ttulo3"/>
    <w:uiPriority w:val="9"/>
    <w:rsid w:val="009E1AFD"/>
    <w:rPr>
      <w:rFonts w:ascii="Cambria" w:eastAsia="Times New Roman" w:hAnsi="Cambria" w:cs="Times New Roman"/>
      <w:b/>
      <w:bCs/>
      <w:color w:val="4F81BD"/>
      <w:lang w:eastAsia="es-EC"/>
    </w:rPr>
  </w:style>
  <w:style w:type="character" w:customStyle="1" w:styleId="Ttulo4Car">
    <w:name w:val="Título 4 Car"/>
    <w:link w:val="Ttulo4"/>
    <w:uiPriority w:val="9"/>
    <w:rsid w:val="009E1AFD"/>
    <w:rPr>
      <w:rFonts w:ascii="Cambria" w:eastAsia="Times New Roman" w:hAnsi="Cambria" w:cs="Times New Roman"/>
      <w:b/>
      <w:bCs/>
      <w:i/>
      <w:iCs/>
      <w:color w:val="4F81BD"/>
      <w:lang w:eastAsia="es-EC"/>
    </w:rPr>
  </w:style>
  <w:style w:type="character" w:customStyle="1" w:styleId="Ttulo5Car">
    <w:name w:val="Título 5 Car"/>
    <w:link w:val="Ttulo5"/>
    <w:uiPriority w:val="9"/>
    <w:rsid w:val="009E1AFD"/>
    <w:rPr>
      <w:rFonts w:ascii="Cambria" w:eastAsia="Times New Roman" w:hAnsi="Cambria" w:cs="Times New Roman"/>
      <w:color w:val="243F60"/>
      <w:lang w:eastAsia="es-EC"/>
    </w:rPr>
  </w:style>
  <w:style w:type="paragraph" w:styleId="TDC1">
    <w:name w:val="toc 1"/>
    <w:basedOn w:val="Normal"/>
    <w:next w:val="Normal"/>
    <w:autoRedefine/>
    <w:uiPriority w:val="39"/>
    <w:unhideWhenUsed/>
    <w:qFormat/>
    <w:rsid w:val="009E1AFD"/>
    <w:pPr>
      <w:spacing w:after="100"/>
    </w:pPr>
    <w:rPr>
      <w:rFonts w:eastAsia="Times New Roman"/>
    </w:rPr>
  </w:style>
  <w:style w:type="paragraph" w:styleId="TDC2">
    <w:name w:val="toc 2"/>
    <w:basedOn w:val="Normal"/>
    <w:next w:val="Normal"/>
    <w:autoRedefine/>
    <w:uiPriority w:val="39"/>
    <w:unhideWhenUsed/>
    <w:qFormat/>
    <w:rsid w:val="009E1AFD"/>
    <w:pPr>
      <w:spacing w:after="100"/>
      <w:ind w:left="220"/>
    </w:pPr>
    <w:rPr>
      <w:rFonts w:eastAsia="Times New Roman"/>
    </w:rPr>
  </w:style>
  <w:style w:type="paragraph" w:styleId="TDC3">
    <w:name w:val="toc 3"/>
    <w:basedOn w:val="Normal"/>
    <w:next w:val="Normal"/>
    <w:autoRedefine/>
    <w:uiPriority w:val="39"/>
    <w:unhideWhenUsed/>
    <w:qFormat/>
    <w:rsid w:val="009E1AFD"/>
    <w:pPr>
      <w:spacing w:after="100"/>
      <w:ind w:left="440"/>
    </w:pPr>
    <w:rPr>
      <w:rFonts w:eastAsia="Times New Roman"/>
    </w:rPr>
  </w:style>
  <w:style w:type="paragraph" w:styleId="Sinespaciado">
    <w:name w:val="No Spacing"/>
    <w:uiPriority w:val="1"/>
    <w:qFormat/>
    <w:rsid w:val="009E1AFD"/>
    <w:rPr>
      <w:rFonts w:eastAsia="Times New Roman"/>
      <w:sz w:val="22"/>
      <w:szCs w:val="22"/>
    </w:rPr>
  </w:style>
  <w:style w:type="character" w:customStyle="1" w:styleId="PrrafodelistaCar">
    <w:name w:val="Párrafo de lista Car"/>
    <w:link w:val="Prrafodelista"/>
    <w:uiPriority w:val="34"/>
    <w:rsid w:val="009E1AFD"/>
    <w:rPr>
      <w:rFonts w:ascii="Calibri" w:hAnsi="Calibri"/>
      <w:lang w:eastAsia="es-EC"/>
    </w:rPr>
  </w:style>
  <w:style w:type="character" w:styleId="nfasisintenso">
    <w:name w:val="Intense Emphasis"/>
    <w:aliases w:val="Mickey Título"/>
    <w:uiPriority w:val="21"/>
    <w:qFormat/>
    <w:rsid w:val="009E1AFD"/>
    <w:rPr>
      <w:b/>
      <w:bCs/>
      <w:i/>
      <w:iCs/>
      <w:color w:val="4F81BD"/>
    </w:rPr>
  </w:style>
  <w:style w:type="paragraph" w:styleId="TtulodeTDC">
    <w:name w:val="TOC Heading"/>
    <w:basedOn w:val="Ttulo1"/>
    <w:next w:val="Normal"/>
    <w:uiPriority w:val="39"/>
    <w:unhideWhenUsed/>
    <w:qFormat/>
    <w:rsid w:val="009E1AFD"/>
    <w:pPr>
      <w:outlineLvl w:val="9"/>
    </w:pPr>
  </w:style>
  <w:style w:type="character" w:customStyle="1" w:styleId="apple-converted-space">
    <w:name w:val="apple-converted-space"/>
    <w:basedOn w:val="Fuentedeprrafopredeter"/>
    <w:rsid w:val="006B211F"/>
  </w:style>
  <w:style w:type="character" w:styleId="nfasis">
    <w:name w:val="Emphasis"/>
    <w:uiPriority w:val="20"/>
    <w:qFormat/>
    <w:rsid w:val="006B211F"/>
    <w:rPr>
      <w:i/>
      <w:iCs/>
    </w:rPr>
  </w:style>
  <w:style w:type="paragraph" w:styleId="Textodeglobo">
    <w:name w:val="Balloon Text"/>
    <w:basedOn w:val="Normal"/>
    <w:link w:val="TextodegloboCar"/>
    <w:uiPriority w:val="99"/>
    <w:semiHidden/>
    <w:unhideWhenUsed/>
    <w:rsid w:val="006729C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6729CA"/>
    <w:rPr>
      <w:rFonts w:ascii="Tahoma" w:hAnsi="Tahoma" w:cs="Tahoma"/>
      <w:sz w:val="16"/>
      <w:szCs w:val="16"/>
      <w:lang w:eastAsia="es-EC"/>
    </w:rPr>
  </w:style>
  <w:style w:type="paragraph" w:styleId="NormalWeb">
    <w:name w:val="Normal (Web)"/>
    <w:basedOn w:val="Normal"/>
    <w:uiPriority w:val="99"/>
    <w:rsid w:val="00552849"/>
    <w:pPr>
      <w:spacing w:before="100" w:beforeAutospacing="1" w:after="100" w:afterAutospacing="1" w:line="240" w:lineRule="auto"/>
    </w:pPr>
    <w:rPr>
      <w:rFonts w:ascii="Times New Roman" w:eastAsia="Tw Cen MT" w:hAnsi="Times New Roman"/>
      <w:sz w:val="24"/>
      <w:szCs w:val="24"/>
      <w:lang w:val="es-ES" w:eastAsia="es-ES"/>
    </w:rPr>
  </w:style>
  <w:style w:type="paragraph" w:styleId="Textosinformato">
    <w:name w:val="Plain Text"/>
    <w:basedOn w:val="Normal"/>
    <w:link w:val="TextosinformatoCar"/>
    <w:uiPriority w:val="99"/>
    <w:unhideWhenUsed/>
    <w:rsid w:val="00552849"/>
    <w:pPr>
      <w:spacing w:after="0" w:line="240" w:lineRule="auto"/>
    </w:pPr>
    <w:rPr>
      <w:szCs w:val="21"/>
      <w:lang w:eastAsia="en-US"/>
    </w:rPr>
  </w:style>
  <w:style w:type="character" w:customStyle="1" w:styleId="TextosinformatoCar">
    <w:name w:val="Texto sin formato Car"/>
    <w:link w:val="Textosinformato"/>
    <w:uiPriority w:val="99"/>
    <w:rsid w:val="00552849"/>
    <w:rPr>
      <w:rFonts w:ascii="Calibri" w:hAnsi="Calibri"/>
      <w:szCs w:val="21"/>
    </w:rPr>
  </w:style>
  <w:style w:type="character" w:styleId="Hipervnculo">
    <w:name w:val="Hyperlink"/>
    <w:uiPriority w:val="99"/>
    <w:unhideWhenUsed/>
    <w:rsid w:val="00030D84"/>
    <w:rPr>
      <w:color w:val="0000FF"/>
      <w:u w:val="single"/>
    </w:rPr>
  </w:style>
  <w:style w:type="paragraph" w:styleId="Textonotapie">
    <w:name w:val="footnote text"/>
    <w:basedOn w:val="Normal"/>
    <w:link w:val="TextonotapieCar"/>
    <w:uiPriority w:val="99"/>
    <w:unhideWhenUsed/>
    <w:rsid w:val="00004233"/>
    <w:pPr>
      <w:spacing w:after="0" w:line="240" w:lineRule="auto"/>
    </w:pPr>
    <w:rPr>
      <w:sz w:val="20"/>
      <w:szCs w:val="20"/>
      <w:lang w:eastAsia="en-US"/>
    </w:rPr>
  </w:style>
  <w:style w:type="character" w:customStyle="1" w:styleId="TextonotapieCar">
    <w:name w:val="Texto nota pie Car"/>
    <w:link w:val="Textonotapie"/>
    <w:uiPriority w:val="99"/>
    <w:rsid w:val="00004233"/>
    <w:rPr>
      <w:rFonts w:ascii="Calibri" w:eastAsia="Calibri" w:hAnsi="Calibri" w:cs="Times New Roman"/>
      <w:sz w:val="20"/>
      <w:szCs w:val="20"/>
    </w:rPr>
  </w:style>
  <w:style w:type="character" w:styleId="Refdenotaalpie">
    <w:name w:val="footnote reference"/>
    <w:uiPriority w:val="99"/>
    <w:unhideWhenUsed/>
    <w:rsid w:val="00004233"/>
    <w:rPr>
      <w:vertAlign w:val="superscript"/>
    </w:rPr>
  </w:style>
  <w:style w:type="paragraph" w:styleId="Textoindependiente">
    <w:name w:val="Body Text"/>
    <w:basedOn w:val="Normal"/>
    <w:link w:val="TextoindependienteCar"/>
    <w:semiHidden/>
    <w:rsid w:val="00CF16E0"/>
    <w:pPr>
      <w:spacing w:after="0" w:line="240" w:lineRule="auto"/>
    </w:pPr>
    <w:rPr>
      <w:rFonts w:ascii="Times New Roman" w:eastAsia="Times New Roman" w:hAnsi="Times New Roman"/>
      <w:sz w:val="16"/>
      <w:szCs w:val="20"/>
      <w:lang w:eastAsia="es-ES"/>
    </w:rPr>
  </w:style>
  <w:style w:type="character" w:customStyle="1" w:styleId="TextoindependienteCar">
    <w:name w:val="Texto independiente Car"/>
    <w:link w:val="Textoindependiente"/>
    <w:semiHidden/>
    <w:rsid w:val="00CF16E0"/>
    <w:rPr>
      <w:rFonts w:ascii="Times New Roman" w:eastAsia="Times New Roman" w:hAnsi="Times New Roman" w:cs="Times New Roman"/>
      <w:sz w:val="16"/>
      <w:szCs w:val="20"/>
      <w:lang w:eastAsia="es-ES"/>
    </w:rPr>
  </w:style>
  <w:style w:type="paragraph" w:customStyle="1" w:styleId="Default">
    <w:name w:val="Default"/>
    <w:rsid w:val="00CF16E0"/>
    <w:pPr>
      <w:autoSpaceDE w:val="0"/>
      <w:autoSpaceDN w:val="0"/>
      <w:adjustRightInd w:val="0"/>
    </w:pPr>
    <w:rPr>
      <w:rFonts w:ascii="Arial" w:hAnsi="Arial" w:cs="Arial"/>
      <w:color w:val="000000"/>
      <w:sz w:val="24"/>
      <w:szCs w:val="24"/>
      <w:lang w:val="es-MX" w:eastAsia="es-MX"/>
    </w:rPr>
  </w:style>
  <w:style w:type="table" w:styleId="Tablaweb3">
    <w:name w:val="Table Web 3"/>
    <w:basedOn w:val="Tablanormal"/>
    <w:rsid w:val="002D24B0"/>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cabezado">
    <w:name w:val="header"/>
    <w:basedOn w:val="Normal"/>
    <w:link w:val="EncabezadoCar"/>
    <w:uiPriority w:val="99"/>
    <w:unhideWhenUsed/>
    <w:rsid w:val="005A0B89"/>
    <w:pPr>
      <w:tabs>
        <w:tab w:val="center" w:pos="4419"/>
        <w:tab w:val="right" w:pos="8838"/>
      </w:tabs>
      <w:spacing w:after="0" w:line="240" w:lineRule="auto"/>
    </w:pPr>
  </w:style>
  <w:style w:type="character" w:customStyle="1" w:styleId="EncabezadoCar">
    <w:name w:val="Encabezado Car"/>
    <w:link w:val="Encabezado"/>
    <w:uiPriority w:val="99"/>
    <w:rsid w:val="005A0B89"/>
    <w:rPr>
      <w:rFonts w:ascii="Calibri" w:hAnsi="Calibri"/>
      <w:lang w:eastAsia="es-EC"/>
    </w:rPr>
  </w:style>
  <w:style w:type="paragraph" w:styleId="Piedepgina">
    <w:name w:val="footer"/>
    <w:basedOn w:val="Normal"/>
    <w:link w:val="PiedepginaCar"/>
    <w:uiPriority w:val="99"/>
    <w:unhideWhenUsed/>
    <w:rsid w:val="005A0B89"/>
    <w:pPr>
      <w:tabs>
        <w:tab w:val="center" w:pos="4419"/>
        <w:tab w:val="right" w:pos="8838"/>
      </w:tabs>
      <w:spacing w:after="0" w:line="240" w:lineRule="auto"/>
    </w:pPr>
  </w:style>
  <w:style w:type="character" w:customStyle="1" w:styleId="PiedepginaCar">
    <w:name w:val="Pie de página Car"/>
    <w:link w:val="Piedepgina"/>
    <w:uiPriority w:val="99"/>
    <w:rsid w:val="005A0B89"/>
    <w:rPr>
      <w:rFonts w:ascii="Calibri" w:hAnsi="Calibri"/>
      <w:lang w:eastAsia="es-EC"/>
    </w:rPr>
  </w:style>
  <w:style w:type="paragraph" w:customStyle="1" w:styleId="CEC00D05F4354E1094F28D836D46DBBF">
    <w:name w:val="CEC00D05F4354E1094F28D836D46DBBF"/>
    <w:rsid w:val="00C616E7"/>
    <w:pPr>
      <w:spacing w:after="200" w:line="276" w:lineRule="auto"/>
    </w:pPr>
    <w:rPr>
      <w:rFonts w:eastAsia="Times New Roman"/>
      <w:sz w:val="22"/>
      <w:szCs w:val="22"/>
    </w:rPr>
  </w:style>
  <w:style w:type="character" w:customStyle="1" w:styleId="estilo4">
    <w:name w:val="estilo4"/>
    <w:basedOn w:val="Fuentedeprrafopredeter"/>
    <w:rsid w:val="00A64F29"/>
  </w:style>
  <w:style w:type="paragraph" w:styleId="Textocomentario">
    <w:name w:val="annotation text"/>
    <w:basedOn w:val="Normal"/>
    <w:link w:val="TextocomentarioCar"/>
    <w:uiPriority w:val="99"/>
    <w:unhideWhenUsed/>
    <w:rsid w:val="00A64F29"/>
    <w:pPr>
      <w:spacing w:after="0" w:line="240" w:lineRule="auto"/>
    </w:pPr>
    <w:rPr>
      <w:rFonts w:ascii="Times New Roman" w:eastAsia="Batang" w:hAnsi="Times New Roman"/>
      <w:sz w:val="20"/>
      <w:szCs w:val="20"/>
      <w:lang w:val="es-ES" w:eastAsia="ko-KR"/>
    </w:rPr>
  </w:style>
  <w:style w:type="character" w:customStyle="1" w:styleId="TextocomentarioCar">
    <w:name w:val="Texto comentario Car"/>
    <w:link w:val="Textocomentario"/>
    <w:uiPriority w:val="99"/>
    <w:rsid w:val="00A64F29"/>
    <w:rPr>
      <w:rFonts w:ascii="Times New Roman" w:eastAsia="Batang" w:hAnsi="Times New Roman" w:cs="Times New Roman"/>
      <w:sz w:val="20"/>
      <w:szCs w:val="20"/>
      <w:lang w:val="es-ES" w:eastAsia="ko-KR"/>
    </w:rPr>
  </w:style>
  <w:style w:type="character" w:styleId="Refdecomentario">
    <w:name w:val="annotation reference"/>
    <w:uiPriority w:val="99"/>
    <w:semiHidden/>
    <w:unhideWhenUsed/>
    <w:rsid w:val="00224EC3"/>
    <w:rPr>
      <w:sz w:val="16"/>
      <w:szCs w:val="16"/>
    </w:rPr>
  </w:style>
  <w:style w:type="paragraph" w:styleId="Asuntodelcomentario">
    <w:name w:val="annotation subject"/>
    <w:basedOn w:val="Textocomentario"/>
    <w:next w:val="Textocomentario"/>
    <w:link w:val="AsuntodelcomentarioCar"/>
    <w:uiPriority w:val="99"/>
    <w:semiHidden/>
    <w:unhideWhenUsed/>
    <w:rsid w:val="00224EC3"/>
    <w:pPr>
      <w:spacing w:after="200"/>
    </w:pPr>
    <w:rPr>
      <w:rFonts w:ascii="Calibri" w:eastAsia="Calibri" w:hAnsi="Calibri"/>
      <w:b/>
      <w:bCs/>
      <w:lang w:val="es-EC" w:eastAsia="es-EC"/>
    </w:rPr>
  </w:style>
  <w:style w:type="character" w:customStyle="1" w:styleId="AsuntodelcomentarioCar">
    <w:name w:val="Asunto del comentario Car"/>
    <w:link w:val="Asuntodelcomentario"/>
    <w:uiPriority w:val="99"/>
    <w:semiHidden/>
    <w:rsid w:val="00224EC3"/>
    <w:rPr>
      <w:rFonts w:ascii="Calibri" w:eastAsia="Batang" w:hAnsi="Calibri" w:cs="Times New Roman"/>
      <w:b/>
      <w:bCs/>
      <w:sz w:val="20"/>
      <w:szCs w:val="20"/>
      <w:lang w:val="es-ES" w:eastAsia="es-EC"/>
    </w:rPr>
  </w:style>
  <w:style w:type="paragraph" w:customStyle="1" w:styleId="default0">
    <w:name w:val="default"/>
    <w:basedOn w:val="Normal"/>
    <w:rsid w:val="00CD3B2E"/>
    <w:pPr>
      <w:autoSpaceDE w:val="0"/>
      <w:autoSpaceDN w:val="0"/>
      <w:spacing w:after="0" w:line="240" w:lineRule="auto"/>
    </w:pPr>
    <w:rPr>
      <w:rFonts w:ascii="Arial" w:hAnsi="Arial" w:cs="Arial"/>
      <w:color w:val="000000"/>
      <w:sz w:val="24"/>
      <w:szCs w:val="24"/>
      <w:lang w:val="en-US" w:eastAsia="en-US"/>
    </w:rPr>
  </w:style>
  <w:style w:type="character" w:styleId="Textodelmarcadordeposicin">
    <w:name w:val="Placeholder Text"/>
    <w:uiPriority w:val="99"/>
    <w:semiHidden/>
    <w:rsid w:val="006F7FE0"/>
    <w:rPr>
      <w:color w:val="808080"/>
    </w:rPr>
  </w:style>
  <w:style w:type="character" w:styleId="Hipervnculovisitado">
    <w:name w:val="FollowedHyperlink"/>
    <w:basedOn w:val="Fuentedeprrafopredeter"/>
    <w:uiPriority w:val="99"/>
    <w:semiHidden/>
    <w:unhideWhenUsed/>
    <w:rsid w:val="000267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183">
      <w:bodyDiv w:val="1"/>
      <w:marLeft w:val="0"/>
      <w:marRight w:val="0"/>
      <w:marTop w:val="0"/>
      <w:marBottom w:val="0"/>
      <w:divBdr>
        <w:top w:val="none" w:sz="0" w:space="0" w:color="auto"/>
        <w:left w:val="none" w:sz="0" w:space="0" w:color="auto"/>
        <w:bottom w:val="none" w:sz="0" w:space="0" w:color="auto"/>
        <w:right w:val="none" w:sz="0" w:space="0" w:color="auto"/>
      </w:divBdr>
    </w:div>
    <w:div w:id="44565920">
      <w:bodyDiv w:val="1"/>
      <w:marLeft w:val="0"/>
      <w:marRight w:val="0"/>
      <w:marTop w:val="0"/>
      <w:marBottom w:val="0"/>
      <w:divBdr>
        <w:top w:val="none" w:sz="0" w:space="0" w:color="auto"/>
        <w:left w:val="none" w:sz="0" w:space="0" w:color="auto"/>
        <w:bottom w:val="none" w:sz="0" w:space="0" w:color="auto"/>
        <w:right w:val="none" w:sz="0" w:space="0" w:color="auto"/>
      </w:divBdr>
    </w:div>
    <w:div w:id="179322346">
      <w:bodyDiv w:val="1"/>
      <w:marLeft w:val="0"/>
      <w:marRight w:val="0"/>
      <w:marTop w:val="0"/>
      <w:marBottom w:val="0"/>
      <w:divBdr>
        <w:top w:val="none" w:sz="0" w:space="0" w:color="auto"/>
        <w:left w:val="none" w:sz="0" w:space="0" w:color="auto"/>
        <w:bottom w:val="none" w:sz="0" w:space="0" w:color="auto"/>
        <w:right w:val="none" w:sz="0" w:space="0" w:color="auto"/>
      </w:divBdr>
    </w:div>
    <w:div w:id="452094136">
      <w:bodyDiv w:val="1"/>
      <w:marLeft w:val="0"/>
      <w:marRight w:val="0"/>
      <w:marTop w:val="0"/>
      <w:marBottom w:val="0"/>
      <w:divBdr>
        <w:top w:val="none" w:sz="0" w:space="0" w:color="auto"/>
        <w:left w:val="none" w:sz="0" w:space="0" w:color="auto"/>
        <w:bottom w:val="none" w:sz="0" w:space="0" w:color="auto"/>
        <w:right w:val="none" w:sz="0" w:space="0" w:color="auto"/>
      </w:divBdr>
    </w:div>
    <w:div w:id="502168856">
      <w:bodyDiv w:val="1"/>
      <w:marLeft w:val="0"/>
      <w:marRight w:val="0"/>
      <w:marTop w:val="0"/>
      <w:marBottom w:val="0"/>
      <w:divBdr>
        <w:top w:val="none" w:sz="0" w:space="0" w:color="auto"/>
        <w:left w:val="none" w:sz="0" w:space="0" w:color="auto"/>
        <w:bottom w:val="none" w:sz="0" w:space="0" w:color="auto"/>
        <w:right w:val="none" w:sz="0" w:space="0" w:color="auto"/>
      </w:divBdr>
    </w:div>
    <w:div w:id="512261556">
      <w:bodyDiv w:val="1"/>
      <w:marLeft w:val="0"/>
      <w:marRight w:val="0"/>
      <w:marTop w:val="0"/>
      <w:marBottom w:val="0"/>
      <w:divBdr>
        <w:top w:val="none" w:sz="0" w:space="0" w:color="auto"/>
        <w:left w:val="none" w:sz="0" w:space="0" w:color="auto"/>
        <w:bottom w:val="none" w:sz="0" w:space="0" w:color="auto"/>
        <w:right w:val="none" w:sz="0" w:space="0" w:color="auto"/>
      </w:divBdr>
    </w:div>
    <w:div w:id="522523328">
      <w:bodyDiv w:val="1"/>
      <w:marLeft w:val="0"/>
      <w:marRight w:val="0"/>
      <w:marTop w:val="0"/>
      <w:marBottom w:val="0"/>
      <w:divBdr>
        <w:top w:val="none" w:sz="0" w:space="0" w:color="auto"/>
        <w:left w:val="none" w:sz="0" w:space="0" w:color="auto"/>
        <w:bottom w:val="none" w:sz="0" w:space="0" w:color="auto"/>
        <w:right w:val="none" w:sz="0" w:space="0" w:color="auto"/>
      </w:divBdr>
    </w:div>
    <w:div w:id="764038798">
      <w:bodyDiv w:val="1"/>
      <w:marLeft w:val="0"/>
      <w:marRight w:val="0"/>
      <w:marTop w:val="0"/>
      <w:marBottom w:val="0"/>
      <w:divBdr>
        <w:top w:val="none" w:sz="0" w:space="0" w:color="auto"/>
        <w:left w:val="none" w:sz="0" w:space="0" w:color="auto"/>
        <w:bottom w:val="none" w:sz="0" w:space="0" w:color="auto"/>
        <w:right w:val="none" w:sz="0" w:space="0" w:color="auto"/>
      </w:divBdr>
    </w:div>
    <w:div w:id="859396159">
      <w:bodyDiv w:val="1"/>
      <w:marLeft w:val="0"/>
      <w:marRight w:val="0"/>
      <w:marTop w:val="0"/>
      <w:marBottom w:val="0"/>
      <w:divBdr>
        <w:top w:val="none" w:sz="0" w:space="0" w:color="auto"/>
        <w:left w:val="none" w:sz="0" w:space="0" w:color="auto"/>
        <w:bottom w:val="none" w:sz="0" w:space="0" w:color="auto"/>
        <w:right w:val="none" w:sz="0" w:space="0" w:color="auto"/>
      </w:divBdr>
    </w:div>
    <w:div w:id="926382310">
      <w:bodyDiv w:val="1"/>
      <w:marLeft w:val="0"/>
      <w:marRight w:val="0"/>
      <w:marTop w:val="0"/>
      <w:marBottom w:val="0"/>
      <w:divBdr>
        <w:top w:val="none" w:sz="0" w:space="0" w:color="auto"/>
        <w:left w:val="none" w:sz="0" w:space="0" w:color="auto"/>
        <w:bottom w:val="none" w:sz="0" w:space="0" w:color="auto"/>
        <w:right w:val="none" w:sz="0" w:space="0" w:color="auto"/>
      </w:divBdr>
    </w:div>
    <w:div w:id="1168787387">
      <w:bodyDiv w:val="1"/>
      <w:marLeft w:val="0"/>
      <w:marRight w:val="0"/>
      <w:marTop w:val="0"/>
      <w:marBottom w:val="0"/>
      <w:divBdr>
        <w:top w:val="none" w:sz="0" w:space="0" w:color="auto"/>
        <w:left w:val="none" w:sz="0" w:space="0" w:color="auto"/>
        <w:bottom w:val="none" w:sz="0" w:space="0" w:color="auto"/>
        <w:right w:val="none" w:sz="0" w:space="0" w:color="auto"/>
      </w:divBdr>
    </w:div>
    <w:div w:id="1180045749">
      <w:bodyDiv w:val="1"/>
      <w:marLeft w:val="0"/>
      <w:marRight w:val="0"/>
      <w:marTop w:val="0"/>
      <w:marBottom w:val="0"/>
      <w:divBdr>
        <w:top w:val="none" w:sz="0" w:space="0" w:color="auto"/>
        <w:left w:val="none" w:sz="0" w:space="0" w:color="auto"/>
        <w:bottom w:val="none" w:sz="0" w:space="0" w:color="auto"/>
        <w:right w:val="none" w:sz="0" w:space="0" w:color="auto"/>
      </w:divBdr>
    </w:div>
    <w:div w:id="1406221956">
      <w:bodyDiv w:val="1"/>
      <w:marLeft w:val="0"/>
      <w:marRight w:val="0"/>
      <w:marTop w:val="0"/>
      <w:marBottom w:val="0"/>
      <w:divBdr>
        <w:top w:val="none" w:sz="0" w:space="0" w:color="auto"/>
        <w:left w:val="none" w:sz="0" w:space="0" w:color="auto"/>
        <w:bottom w:val="none" w:sz="0" w:space="0" w:color="auto"/>
        <w:right w:val="none" w:sz="0" w:space="0" w:color="auto"/>
      </w:divBdr>
    </w:div>
    <w:div w:id="1476608911">
      <w:bodyDiv w:val="1"/>
      <w:marLeft w:val="0"/>
      <w:marRight w:val="0"/>
      <w:marTop w:val="0"/>
      <w:marBottom w:val="0"/>
      <w:divBdr>
        <w:top w:val="none" w:sz="0" w:space="0" w:color="auto"/>
        <w:left w:val="none" w:sz="0" w:space="0" w:color="auto"/>
        <w:bottom w:val="none" w:sz="0" w:space="0" w:color="auto"/>
        <w:right w:val="none" w:sz="0" w:space="0" w:color="auto"/>
      </w:divBdr>
    </w:div>
    <w:div w:id="1642071939">
      <w:bodyDiv w:val="1"/>
      <w:marLeft w:val="0"/>
      <w:marRight w:val="0"/>
      <w:marTop w:val="0"/>
      <w:marBottom w:val="0"/>
      <w:divBdr>
        <w:top w:val="none" w:sz="0" w:space="0" w:color="auto"/>
        <w:left w:val="none" w:sz="0" w:space="0" w:color="auto"/>
        <w:bottom w:val="none" w:sz="0" w:space="0" w:color="auto"/>
        <w:right w:val="none" w:sz="0" w:space="0" w:color="auto"/>
      </w:divBdr>
    </w:div>
    <w:div w:id="1741631004">
      <w:bodyDiv w:val="1"/>
      <w:marLeft w:val="0"/>
      <w:marRight w:val="0"/>
      <w:marTop w:val="0"/>
      <w:marBottom w:val="0"/>
      <w:divBdr>
        <w:top w:val="none" w:sz="0" w:space="0" w:color="auto"/>
        <w:left w:val="none" w:sz="0" w:space="0" w:color="auto"/>
        <w:bottom w:val="none" w:sz="0" w:space="0" w:color="auto"/>
        <w:right w:val="none" w:sz="0" w:space="0" w:color="auto"/>
      </w:divBdr>
    </w:div>
    <w:div w:id="1931114643">
      <w:bodyDiv w:val="1"/>
      <w:marLeft w:val="0"/>
      <w:marRight w:val="0"/>
      <w:marTop w:val="0"/>
      <w:marBottom w:val="0"/>
      <w:divBdr>
        <w:top w:val="none" w:sz="0" w:space="0" w:color="auto"/>
        <w:left w:val="none" w:sz="0" w:space="0" w:color="auto"/>
        <w:bottom w:val="none" w:sz="0" w:space="0" w:color="auto"/>
        <w:right w:val="none" w:sz="0" w:space="0" w:color="auto"/>
      </w:divBdr>
    </w:div>
    <w:div w:id="20238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23956-40FD-4C48-B0C5-7A705CE15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937</Words>
  <Characters>5154</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Dirección de Normativas y Metodologías del SEN – DINME  gnogales</dc:creator>
  <cp:lastModifiedBy>Laura Jimenez</cp:lastModifiedBy>
  <cp:revision>2</cp:revision>
  <cp:lastPrinted>2016-11-14T21:01:00Z</cp:lastPrinted>
  <dcterms:created xsi:type="dcterms:W3CDTF">2017-06-21T23:20:00Z</dcterms:created>
  <dcterms:modified xsi:type="dcterms:W3CDTF">2017-06-21T23:20:00Z</dcterms:modified>
</cp:coreProperties>
</file>