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20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45"/>
        <w:gridCol w:w="1284"/>
        <w:gridCol w:w="2498"/>
        <w:gridCol w:w="2578"/>
      </w:tblGrid>
      <w:tr w:rsidR="00030D84" w:rsidRPr="00C80CBE" w:rsidTr="004A0DC0">
        <w:trPr>
          <w:trHeight w:val="851"/>
          <w:tblCellSpacing w:w="20" w:type="dxa"/>
        </w:trPr>
        <w:tc>
          <w:tcPr>
            <w:tcW w:w="4959" w:type="pct"/>
            <w:gridSpan w:val="5"/>
            <w:shd w:val="clear" w:color="auto" w:fill="365F91"/>
            <w:noWrap/>
            <w:vAlign w:val="center"/>
            <w:hideMark/>
          </w:tcPr>
          <w:p w:rsidR="00030D84" w:rsidRPr="00C80CBE" w:rsidRDefault="00030D84" w:rsidP="00004233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FICHA METODOLÓGICA</w:t>
            </w:r>
            <w:r w:rsidR="00483C0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-INDICADOR</w:t>
            </w:r>
            <w:r w:rsidR="00C80CBE" w:rsidRPr="00C80C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ODS</w:t>
            </w:r>
          </w:p>
        </w:tc>
      </w:tr>
      <w:tr w:rsidR="00030D84" w:rsidRPr="00C80CBE" w:rsidTr="00480B23">
        <w:trPr>
          <w:trHeight w:val="612"/>
          <w:tblCellSpacing w:w="20" w:type="dxa"/>
        </w:trPr>
        <w:tc>
          <w:tcPr>
            <w:tcW w:w="1735" w:type="pct"/>
            <w:gridSpan w:val="2"/>
            <w:shd w:val="clear" w:color="auto" w:fill="C6D9F1"/>
            <w:vAlign w:val="center"/>
            <w:hideMark/>
          </w:tcPr>
          <w:p w:rsidR="00030D84" w:rsidRPr="00C80CBE" w:rsidRDefault="00030D84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NOMBRE DEL INDICADOR</w:t>
            </w:r>
          </w:p>
        </w:tc>
        <w:tc>
          <w:tcPr>
            <w:tcW w:w="3204" w:type="pct"/>
            <w:gridSpan w:val="3"/>
            <w:shd w:val="clear" w:color="auto" w:fill="auto"/>
            <w:vAlign w:val="center"/>
            <w:hideMark/>
          </w:tcPr>
          <w:p w:rsidR="00BC0BA7" w:rsidRPr="00C80CBE" w:rsidRDefault="00BC0BA7" w:rsidP="009E3508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Indicadores de Solidez Financiera</w:t>
            </w:r>
          </w:p>
          <w:p w:rsidR="00030D84" w:rsidRPr="00965159" w:rsidRDefault="00965159" w:rsidP="009E3508">
            <w:pPr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4</w:t>
            </w:r>
            <w:r w:rsidR="00C80CBE" w:rsidRPr="00965159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 xml:space="preserve">. </w:t>
            </w:r>
            <w:r w:rsidR="009E3508" w:rsidRPr="00965159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Coeficiente de activos líquidos</w:t>
            </w:r>
          </w:p>
        </w:tc>
      </w:tr>
      <w:tr w:rsidR="00030D84" w:rsidRPr="00C80CBE" w:rsidTr="00480B23">
        <w:trPr>
          <w:trHeight w:val="606"/>
          <w:tblCellSpacing w:w="20" w:type="dxa"/>
        </w:trPr>
        <w:tc>
          <w:tcPr>
            <w:tcW w:w="1735" w:type="pct"/>
            <w:gridSpan w:val="2"/>
            <w:shd w:val="clear" w:color="auto" w:fill="C6D9F1"/>
            <w:vAlign w:val="center"/>
            <w:hideMark/>
          </w:tcPr>
          <w:p w:rsidR="00030D84" w:rsidRPr="00C80CBE" w:rsidRDefault="00030D84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</w:t>
            </w:r>
          </w:p>
        </w:tc>
        <w:tc>
          <w:tcPr>
            <w:tcW w:w="3204" w:type="pct"/>
            <w:gridSpan w:val="3"/>
            <w:shd w:val="clear" w:color="auto" w:fill="auto"/>
            <w:vAlign w:val="center"/>
            <w:hideMark/>
          </w:tcPr>
          <w:p w:rsidR="00C82F32" w:rsidRDefault="00912BCA" w:rsidP="00BC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80CBE">
              <w:rPr>
                <w:rFonts w:ascii="Arial" w:hAnsi="Arial" w:cs="Arial"/>
                <w:sz w:val="20"/>
                <w:szCs w:val="20"/>
              </w:rPr>
              <w:t xml:space="preserve">Es un Indicador de Solidez Financiera que </w:t>
            </w:r>
            <w:r w:rsidR="009E3508" w:rsidRPr="00C80CBE">
              <w:rPr>
                <w:rFonts w:ascii="Arial" w:hAnsi="Arial" w:cs="Arial"/>
                <w:sz w:val="20"/>
                <w:szCs w:val="20"/>
              </w:rPr>
              <w:t>pertenece a</w:t>
            </w:r>
            <w:r w:rsidRPr="00C80CBE">
              <w:rPr>
                <w:rFonts w:ascii="Arial" w:hAnsi="Arial" w:cs="Arial"/>
                <w:sz w:val="20"/>
                <w:szCs w:val="20"/>
              </w:rPr>
              <w:t xml:space="preserve"> los ratios</w:t>
            </w:r>
            <w:r w:rsidR="00056185" w:rsidRPr="00C80CBE">
              <w:rPr>
                <w:rFonts w:ascii="Arial" w:hAnsi="Arial" w:cs="Arial"/>
                <w:sz w:val="20"/>
                <w:szCs w:val="20"/>
              </w:rPr>
              <w:t xml:space="preserve"> de liquidez</w:t>
            </w:r>
            <w:r w:rsidRPr="00C80CBE">
              <w:rPr>
                <w:rFonts w:ascii="Arial" w:hAnsi="Arial" w:cs="Arial"/>
                <w:sz w:val="20"/>
                <w:szCs w:val="20"/>
              </w:rPr>
              <w:t>:</w:t>
            </w:r>
            <w:r w:rsidR="00056185" w:rsidRPr="00C80C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08" w:rsidRPr="00C80CBE">
              <w:rPr>
                <w:rFonts w:ascii="Arial" w:hAnsi="Arial" w:cs="Arial"/>
                <w:i/>
                <w:sz w:val="20"/>
                <w:szCs w:val="20"/>
              </w:rPr>
              <w:t>“</w:t>
            </w:r>
            <w:r w:rsidR="00056185" w:rsidRPr="00C80CBE">
              <w:rPr>
                <w:rFonts w:ascii="Arial" w:hAnsi="Arial" w:cs="Arial"/>
                <w:i/>
                <w:sz w:val="20"/>
                <w:szCs w:val="20"/>
              </w:rPr>
              <w:t xml:space="preserve">mide </w:t>
            </w:r>
            <w:r w:rsidR="009E3508" w:rsidRPr="00C80CBE">
              <w:rPr>
                <w:rFonts w:ascii="Arial" w:hAnsi="Arial" w:cs="Arial"/>
                <w:i/>
                <w:sz w:val="20"/>
                <w:szCs w:val="20"/>
              </w:rPr>
              <w:t xml:space="preserve"> la liquidez disponible para cumplir</w:t>
            </w:r>
            <w:r w:rsidR="00BC0BA7" w:rsidRPr="00C80CB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E3508" w:rsidRPr="00C80CBE">
              <w:rPr>
                <w:rFonts w:ascii="Arial" w:hAnsi="Arial" w:cs="Arial"/>
                <w:i/>
                <w:sz w:val="20"/>
                <w:szCs w:val="20"/>
              </w:rPr>
              <w:t>las demandas previstas e imprevistas de efectivo”.</w:t>
            </w:r>
          </w:p>
          <w:p w:rsidR="00C80CBE" w:rsidRPr="00C80CBE" w:rsidRDefault="00C80CBE" w:rsidP="00BC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D84" w:rsidRPr="00C80CBE" w:rsidTr="004A0DC0">
        <w:trPr>
          <w:trHeight w:val="513"/>
          <w:tblCellSpacing w:w="20" w:type="dxa"/>
        </w:trPr>
        <w:tc>
          <w:tcPr>
            <w:tcW w:w="4959" w:type="pct"/>
            <w:gridSpan w:val="5"/>
            <w:shd w:val="clear" w:color="auto" w:fill="C6D9F1"/>
            <w:vAlign w:val="center"/>
            <w:hideMark/>
          </w:tcPr>
          <w:p w:rsidR="00030D84" w:rsidRPr="00C80CBE" w:rsidRDefault="00C022E1" w:rsidP="0000423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FÓRMULA DE CÁ</w:t>
            </w:r>
            <w:r w:rsidR="00030D84"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LCULO</w:t>
            </w:r>
          </w:p>
        </w:tc>
      </w:tr>
      <w:tr w:rsidR="004E7BA5" w:rsidRPr="00C80CBE" w:rsidTr="004A0DC0">
        <w:trPr>
          <w:trHeight w:val="513"/>
          <w:tblCellSpacing w:w="20" w:type="dxa"/>
        </w:trPr>
        <w:tc>
          <w:tcPr>
            <w:tcW w:w="4959" w:type="pct"/>
            <w:gridSpan w:val="5"/>
            <w:shd w:val="clear" w:color="auto" w:fill="auto"/>
          </w:tcPr>
          <w:p w:rsidR="00BA301E" w:rsidRPr="00C80CBE" w:rsidRDefault="00056185" w:rsidP="00BA3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CBE">
              <w:rPr>
                <w:rFonts w:ascii="Arial" w:hAnsi="Arial" w:cs="Arial"/>
                <w:sz w:val="20"/>
                <w:szCs w:val="20"/>
              </w:rPr>
              <w:t>Activos lí</w:t>
            </w:r>
            <w:r w:rsidR="00231388" w:rsidRPr="00C80CBE">
              <w:rPr>
                <w:rFonts w:ascii="Arial" w:hAnsi="Arial" w:cs="Arial"/>
                <w:sz w:val="20"/>
                <w:szCs w:val="20"/>
              </w:rPr>
              <w:t>quid</w:t>
            </w:r>
            <w:r w:rsidR="00002E9C" w:rsidRPr="00C80CBE">
              <w:rPr>
                <w:rFonts w:ascii="Arial" w:hAnsi="Arial" w:cs="Arial"/>
                <w:sz w:val="20"/>
                <w:szCs w:val="20"/>
              </w:rPr>
              <w:t>os (</w:t>
            </w:r>
            <w:r w:rsidR="00E55150" w:rsidRPr="00C80CBE">
              <w:rPr>
                <w:rFonts w:ascii="Arial" w:hAnsi="Arial" w:cs="Arial"/>
                <w:sz w:val="20"/>
                <w:szCs w:val="20"/>
              </w:rPr>
              <w:t>básicos) / Activo Total IF010</w:t>
            </w:r>
          </w:p>
        </w:tc>
      </w:tr>
      <w:tr w:rsidR="004E7BA5" w:rsidRPr="00C80CBE" w:rsidTr="004A0DC0">
        <w:trPr>
          <w:trHeight w:val="513"/>
          <w:tblCellSpacing w:w="20" w:type="dxa"/>
        </w:trPr>
        <w:tc>
          <w:tcPr>
            <w:tcW w:w="4959" w:type="pct"/>
            <w:gridSpan w:val="5"/>
            <w:shd w:val="clear" w:color="auto" w:fill="C6D9F1"/>
            <w:vAlign w:val="center"/>
            <w:hideMark/>
          </w:tcPr>
          <w:p w:rsidR="004E7BA5" w:rsidRPr="00C80CBE" w:rsidRDefault="004E7BA5" w:rsidP="0000423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DEFINICIÓN DE LAS VARIABLES RELACIONADAS</w:t>
            </w:r>
          </w:p>
        </w:tc>
      </w:tr>
      <w:tr w:rsidR="004E7BA5" w:rsidRPr="00C80CBE" w:rsidTr="004A0DC0">
        <w:trPr>
          <w:trHeight w:val="513"/>
          <w:tblCellSpacing w:w="20" w:type="dxa"/>
        </w:trPr>
        <w:tc>
          <w:tcPr>
            <w:tcW w:w="4959" w:type="pct"/>
            <w:gridSpan w:val="5"/>
            <w:shd w:val="clear" w:color="auto" w:fill="auto"/>
          </w:tcPr>
          <w:p w:rsidR="003D3D65" w:rsidRPr="00C80CBE" w:rsidRDefault="00231388" w:rsidP="006B4999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sz w:val="20"/>
                <w:szCs w:val="20"/>
              </w:rPr>
              <w:t>Activos Líquidos</w:t>
            </w:r>
            <w:r w:rsidR="002915D4" w:rsidRPr="00C80CB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: </w:t>
            </w:r>
            <w:r w:rsidRPr="00C80CBE">
              <w:rPr>
                <w:rFonts w:ascii="Arial" w:eastAsia="Times New Roman" w:hAnsi="Arial" w:cs="Arial"/>
                <w:sz w:val="20"/>
                <w:szCs w:val="20"/>
              </w:rPr>
              <w:t xml:space="preserve">Activos sobre los cuales en </w:t>
            </w:r>
            <w:proofErr w:type="spellStart"/>
            <w:r w:rsidRPr="00C80CBE">
              <w:rPr>
                <w:rFonts w:ascii="Arial" w:eastAsia="Times New Roman" w:hAnsi="Arial" w:cs="Arial"/>
                <w:sz w:val="20"/>
                <w:szCs w:val="20"/>
              </w:rPr>
              <w:t>considiciones</w:t>
            </w:r>
            <w:proofErr w:type="spellEnd"/>
            <w:r w:rsidRPr="00C80CBE">
              <w:rPr>
                <w:rFonts w:ascii="Arial" w:eastAsia="Times New Roman" w:hAnsi="Arial" w:cs="Arial"/>
                <w:sz w:val="20"/>
                <w:szCs w:val="20"/>
              </w:rPr>
              <w:t xml:space="preserve"> normales</w:t>
            </w:r>
            <w:r w:rsidR="00002E9C" w:rsidRPr="00C80C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80CBE">
              <w:rPr>
                <w:rFonts w:ascii="Arial" w:eastAsia="Times New Roman" w:hAnsi="Arial" w:cs="Arial"/>
                <w:sz w:val="20"/>
                <w:szCs w:val="20"/>
              </w:rPr>
              <w:t xml:space="preserve">el titular tenga la certeza que pueden convertirse en dinero sin una pérdida </w:t>
            </w:r>
            <w:proofErr w:type="spellStart"/>
            <w:r w:rsidRPr="00C80CBE">
              <w:rPr>
                <w:rFonts w:ascii="Arial" w:eastAsia="Times New Roman" w:hAnsi="Arial" w:cs="Arial"/>
                <w:sz w:val="20"/>
                <w:szCs w:val="20"/>
              </w:rPr>
              <w:t>significtiva</w:t>
            </w:r>
            <w:proofErr w:type="spellEnd"/>
            <w:r w:rsidRPr="00C80CBE">
              <w:rPr>
                <w:rFonts w:ascii="Arial" w:eastAsia="Times New Roman" w:hAnsi="Arial" w:cs="Arial"/>
                <w:sz w:val="20"/>
                <w:szCs w:val="20"/>
              </w:rPr>
              <w:t xml:space="preserve"> de valor, tales como títulos emitidos en su propia monedea por el Estado o Banco Central </w:t>
            </w:r>
            <w:r w:rsidR="0009106B" w:rsidRPr="00C80CBE">
              <w:rPr>
                <w:rFonts w:ascii="Arial" w:eastAsia="Times New Roman" w:hAnsi="Arial" w:cs="Arial"/>
                <w:sz w:val="20"/>
                <w:szCs w:val="20"/>
              </w:rPr>
              <w:t>y otros valores de empresas privadas de alta calidad.</w:t>
            </w:r>
            <w:r w:rsidR="002A5CEF" w:rsidRPr="00C80C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A5CEF" w:rsidRPr="00C80CBE">
              <w:rPr>
                <w:rFonts w:ascii="Arial" w:hAnsi="Arial" w:cs="Arial"/>
                <w:sz w:val="20"/>
                <w:szCs w:val="20"/>
              </w:rPr>
              <w:t>(</w:t>
            </w:r>
            <w:r w:rsidR="002A5CEF"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Indicadores de solidez financiera: Guía de compilación—Washington, D.C.: Fondo Monetario Internacional, 2006)</w:t>
            </w:r>
          </w:p>
          <w:p w:rsidR="002A5CEF" w:rsidRPr="00C80CBE" w:rsidRDefault="002A5CEF" w:rsidP="002A5CEF">
            <w:pPr>
              <w:pStyle w:val="Prrafodelista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267A0" w:rsidRPr="00C80CBE" w:rsidRDefault="00B267A0" w:rsidP="003D3D65">
            <w:pPr>
              <w:pStyle w:val="Prrafodelista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80CBE">
              <w:rPr>
                <w:rFonts w:ascii="Arial" w:hAnsi="Arial" w:cs="Arial"/>
                <w:sz w:val="20"/>
                <w:szCs w:val="20"/>
                <w:lang w:val="es-ES"/>
              </w:rPr>
              <w:t>Para el caso del Ecuador se</w:t>
            </w:r>
            <w:r w:rsidR="00BC0BA7" w:rsidRPr="00C80CBE">
              <w:rPr>
                <w:rFonts w:ascii="Arial" w:hAnsi="Arial" w:cs="Arial"/>
                <w:sz w:val="20"/>
                <w:szCs w:val="20"/>
                <w:lang w:val="es-ES"/>
              </w:rPr>
              <w:t xml:space="preserve"> ha</w:t>
            </w:r>
            <w:r w:rsidRPr="00C80CBE">
              <w:rPr>
                <w:rFonts w:ascii="Arial" w:hAnsi="Arial" w:cs="Arial"/>
                <w:sz w:val="20"/>
                <w:szCs w:val="20"/>
                <w:lang w:val="es-ES"/>
              </w:rPr>
              <w:t xml:space="preserve"> asimilado a los activos líquidos de primera línea definidos en la norma de liquidez de la </w:t>
            </w:r>
            <w:proofErr w:type="spellStart"/>
            <w:r w:rsidRPr="00C80CBE">
              <w:rPr>
                <w:rFonts w:ascii="Arial" w:hAnsi="Arial" w:cs="Arial"/>
                <w:sz w:val="20"/>
                <w:szCs w:val="20"/>
                <w:lang w:val="es-ES"/>
              </w:rPr>
              <w:t>Códificación</w:t>
            </w:r>
            <w:proofErr w:type="spellEnd"/>
            <w:r w:rsidRPr="00C80CBE">
              <w:rPr>
                <w:rFonts w:ascii="Arial" w:hAnsi="Arial" w:cs="Arial"/>
                <w:sz w:val="20"/>
                <w:szCs w:val="20"/>
                <w:lang w:val="es-ES"/>
              </w:rPr>
              <w:t xml:space="preserve"> de Resoluciones de la Superintendencia de Bancos y de la Junta Bancaria, libro I Titulo X.- Capítulo IV De la Gestión y Administración De Riesgos, Capítulo VI.- Normas para que las Instituciones Financieras, las Compañías de Arrendamiento Mercantil y las Emisoras o Administradoras de Tarjetas de Crédito mantengan un Nivel de Liquidez Estructural Adecuado, Codificación de Resoluciones de la SBS y de la JB, Libro I. Dentro de los Activos y Pasivos Líquidos de Primera línea se incluyen algunos superiores a 30 días.</w:t>
            </w:r>
            <w:r w:rsidR="002A5CEF" w:rsidRPr="00C80CB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E55150" w:rsidRPr="00C80CBE" w:rsidRDefault="00E55150" w:rsidP="00E55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1B53D0" w:rsidRDefault="00E55150" w:rsidP="00002E9C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</w:pPr>
            <w:r w:rsidRPr="00C80CB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Total activo.- </w:t>
            </w:r>
            <w:r w:rsidRPr="00C80CBE">
              <w:rPr>
                <w:rFonts w:ascii="Arial" w:hAnsi="Arial" w:cs="Arial"/>
                <w:sz w:val="20"/>
                <w:szCs w:val="20"/>
              </w:rPr>
              <w:t>corresponde al elemento 1 “Total Activo”.</w:t>
            </w:r>
            <w:r w:rsidR="002A5CEF" w:rsidRPr="00C80CB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2A5CEF"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Indicadores de solidez financiera: Guía de compilación—Washington, D.C.: Fondo Monetario Internacional, 2006)</w:t>
            </w:r>
          </w:p>
          <w:p w:rsidR="00C80CBE" w:rsidRPr="00C80CBE" w:rsidRDefault="00C80CBE" w:rsidP="00C80CB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E7BA5" w:rsidRPr="00C80CBE" w:rsidTr="004A0DC0">
        <w:trPr>
          <w:trHeight w:val="513"/>
          <w:tblCellSpacing w:w="20" w:type="dxa"/>
        </w:trPr>
        <w:tc>
          <w:tcPr>
            <w:tcW w:w="4959" w:type="pct"/>
            <w:gridSpan w:val="5"/>
            <w:shd w:val="clear" w:color="auto" w:fill="C6D9F1"/>
            <w:vAlign w:val="center"/>
            <w:hideMark/>
          </w:tcPr>
          <w:p w:rsidR="004E7BA5" w:rsidRPr="00C80CBE" w:rsidRDefault="004E7BA5" w:rsidP="0000423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METODOLOGÍA DE CÁLCULO</w:t>
            </w:r>
          </w:p>
        </w:tc>
      </w:tr>
      <w:tr w:rsidR="004E7BA5" w:rsidRPr="00C80CBE" w:rsidTr="004A0DC0">
        <w:trPr>
          <w:trHeight w:val="513"/>
          <w:tblCellSpacing w:w="20" w:type="dxa"/>
        </w:trPr>
        <w:tc>
          <w:tcPr>
            <w:tcW w:w="4959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7A78E9" w:rsidRPr="00C80CBE" w:rsidRDefault="007A78E9" w:rsidP="00BD5B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15D4" w:rsidRPr="00C80CBE" w:rsidRDefault="004A6C98" w:rsidP="00BA3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0CBE">
              <w:rPr>
                <w:rFonts w:ascii="Arial" w:hAnsi="Arial" w:cs="Arial"/>
                <w:sz w:val="20"/>
                <w:szCs w:val="20"/>
              </w:rPr>
              <w:t>a) agregando datos de</w:t>
            </w:r>
            <w:r w:rsidR="000A213D" w:rsidRPr="00C80CBE">
              <w:rPr>
                <w:rFonts w:ascii="Arial" w:hAnsi="Arial" w:cs="Arial"/>
                <w:sz w:val="20"/>
                <w:szCs w:val="20"/>
              </w:rPr>
              <w:t xml:space="preserve"> los </w:t>
            </w:r>
            <w:r w:rsidR="00002E9C" w:rsidRPr="00C80CBE">
              <w:rPr>
                <w:rFonts w:ascii="Arial" w:hAnsi="Arial" w:cs="Arial"/>
                <w:sz w:val="20"/>
                <w:szCs w:val="20"/>
              </w:rPr>
              <w:t>activos líquidos de primera línea</w:t>
            </w:r>
            <w:r w:rsidR="000A213D" w:rsidRPr="00C80CBE">
              <w:rPr>
                <w:rFonts w:ascii="Arial" w:hAnsi="Arial" w:cs="Arial"/>
                <w:sz w:val="20"/>
                <w:szCs w:val="20"/>
              </w:rPr>
              <w:t xml:space="preserve"> de las entidades </w:t>
            </w:r>
            <w:r w:rsidR="00002E9C" w:rsidRPr="00C80CBE">
              <w:rPr>
                <w:rFonts w:ascii="Arial" w:hAnsi="Arial" w:cs="Arial"/>
                <w:sz w:val="20"/>
                <w:szCs w:val="20"/>
              </w:rPr>
              <w:t xml:space="preserve">declarantes </w:t>
            </w:r>
            <w:r w:rsidR="000A213D" w:rsidRPr="00C80CBE">
              <w:rPr>
                <w:rFonts w:ascii="Arial" w:hAnsi="Arial" w:cs="Arial"/>
                <w:sz w:val="20"/>
                <w:szCs w:val="20"/>
              </w:rPr>
              <w:t>que corresponden a las bases de consolidación</w:t>
            </w:r>
            <w:r w:rsidR="00BA301E" w:rsidRPr="00C80CB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3511E" w:rsidRPr="00C80CBE" w:rsidRDefault="00B3511E" w:rsidP="00BD5B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732F6" w:rsidRPr="00C80CBE" w:rsidRDefault="00B174D2" w:rsidP="00291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0CBE">
              <w:rPr>
                <w:rFonts w:ascii="Arial" w:hAnsi="Arial" w:cs="Arial"/>
                <w:sz w:val="20"/>
                <w:szCs w:val="20"/>
              </w:rPr>
              <w:t>b) agregando los datos de</w:t>
            </w:r>
            <w:r w:rsidR="002915D4" w:rsidRPr="00C80C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0CBE">
              <w:rPr>
                <w:rFonts w:ascii="Arial" w:hAnsi="Arial" w:cs="Arial"/>
                <w:sz w:val="20"/>
                <w:szCs w:val="20"/>
              </w:rPr>
              <w:t>l</w:t>
            </w:r>
            <w:r w:rsidR="00002E9C" w:rsidRPr="00C80CBE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9E3508" w:rsidRPr="00C80CBE">
              <w:rPr>
                <w:rFonts w:ascii="Arial" w:hAnsi="Arial" w:cs="Arial"/>
                <w:sz w:val="20"/>
                <w:szCs w:val="20"/>
              </w:rPr>
              <w:t>activos totales</w:t>
            </w:r>
            <w:r w:rsidR="00002E9C" w:rsidRPr="00C80CBE">
              <w:rPr>
                <w:rFonts w:ascii="Arial" w:hAnsi="Arial" w:cs="Arial"/>
                <w:sz w:val="20"/>
                <w:szCs w:val="20"/>
              </w:rPr>
              <w:t xml:space="preserve"> de las entidades declarante que corre</w:t>
            </w:r>
            <w:r w:rsidR="009E3508" w:rsidRPr="00C80CBE">
              <w:rPr>
                <w:rFonts w:ascii="Arial" w:hAnsi="Arial" w:cs="Arial"/>
                <w:sz w:val="20"/>
                <w:szCs w:val="20"/>
              </w:rPr>
              <w:t>sponden a la base de consolidac</w:t>
            </w:r>
            <w:r w:rsidR="00BC0BA7" w:rsidRPr="00C80CBE">
              <w:rPr>
                <w:rFonts w:ascii="Arial" w:hAnsi="Arial" w:cs="Arial"/>
                <w:sz w:val="20"/>
                <w:szCs w:val="20"/>
              </w:rPr>
              <w:t>ión.</w:t>
            </w:r>
          </w:p>
          <w:p w:rsidR="00AE2169" w:rsidRPr="00C80CBE" w:rsidRDefault="00AE2169" w:rsidP="00291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2169" w:rsidRPr="00C80CBE" w:rsidRDefault="00AE2169" w:rsidP="00AE2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0CBE">
              <w:rPr>
                <w:rFonts w:ascii="Arial" w:hAnsi="Arial" w:cs="Arial"/>
                <w:sz w:val="20"/>
                <w:szCs w:val="20"/>
              </w:rPr>
              <w:t>Calculados a) conforme lo descrito en La Codificación de Resoluciones de la Superintendencia de Bancos y Seguros y de la Junta Bancaria, Libro I.- Normas Generales para las Instituciones del Sistema Financiero Titulo X.- de La Gestión y Administración de Riesgos Capítulo V</w:t>
            </w:r>
            <w:r w:rsidR="00480B23" w:rsidRPr="00C80CBE">
              <w:rPr>
                <w:rFonts w:ascii="Arial" w:hAnsi="Arial" w:cs="Arial"/>
                <w:sz w:val="20"/>
                <w:szCs w:val="20"/>
              </w:rPr>
              <w:t>I</w:t>
            </w:r>
            <w:r w:rsidRPr="00C80CBE">
              <w:rPr>
                <w:rFonts w:ascii="Arial" w:hAnsi="Arial" w:cs="Arial"/>
                <w:sz w:val="20"/>
                <w:szCs w:val="20"/>
              </w:rPr>
              <w:t>.- Normas para que las Instituciones Financieras, las Compañías de Arrendam</w:t>
            </w:r>
            <w:r w:rsidR="00480B23" w:rsidRPr="00C80CBE">
              <w:rPr>
                <w:rFonts w:ascii="Arial" w:hAnsi="Arial" w:cs="Arial"/>
                <w:sz w:val="20"/>
                <w:szCs w:val="20"/>
              </w:rPr>
              <w:t>iento Mercantil y las Emisoras o</w:t>
            </w:r>
            <w:r w:rsidRPr="00C80CBE">
              <w:rPr>
                <w:rFonts w:ascii="Arial" w:hAnsi="Arial" w:cs="Arial"/>
                <w:sz w:val="20"/>
                <w:szCs w:val="20"/>
              </w:rPr>
              <w:t xml:space="preserve"> Administradoras de Tarjetas de Crédito Mantengan un Nivel de Liquidez Estructural Adecuado</w:t>
            </w:r>
          </w:p>
          <w:p w:rsidR="00B3511E" w:rsidRPr="00C80CBE" w:rsidRDefault="00B3511E" w:rsidP="00BD5B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511E" w:rsidRPr="00C80CBE" w:rsidRDefault="00B3511E" w:rsidP="00BD5B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0CBE">
              <w:rPr>
                <w:rFonts w:ascii="Arial" w:hAnsi="Arial" w:cs="Arial"/>
                <w:sz w:val="20"/>
                <w:szCs w:val="20"/>
              </w:rPr>
              <w:t xml:space="preserve">c) se obtiene la relación dividiendo a) entre b) </w:t>
            </w:r>
          </w:p>
        </w:tc>
      </w:tr>
      <w:tr w:rsidR="004E7BA5" w:rsidRPr="00C80CBE" w:rsidTr="003A2829">
        <w:trPr>
          <w:trHeight w:val="677"/>
          <w:tblCellSpacing w:w="20" w:type="dxa"/>
        </w:trPr>
        <w:tc>
          <w:tcPr>
            <w:tcW w:w="4959" w:type="pct"/>
            <w:gridSpan w:val="5"/>
            <w:shd w:val="clear" w:color="auto" w:fill="C6D9F1"/>
            <w:vAlign w:val="center"/>
          </w:tcPr>
          <w:p w:rsidR="004E7BA5" w:rsidRPr="00C80CBE" w:rsidRDefault="004E7BA5" w:rsidP="003A282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LIMITACIONES TÉCNICAS</w:t>
            </w:r>
          </w:p>
        </w:tc>
      </w:tr>
      <w:tr w:rsidR="004E7BA5" w:rsidRPr="00C80CBE" w:rsidTr="003A2829">
        <w:trPr>
          <w:trHeight w:val="677"/>
          <w:tblCellSpacing w:w="20" w:type="dxa"/>
        </w:trPr>
        <w:tc>
          <w:tcPr>
            <w:tcW w:w="4959" w:type="pct"/>
            <w:gridSpan w:val="5"/>
            <w:shd w:val="clear" w:color="auto" w:fill="auto"/>
            <w:vAlign w:val="center"/>
            <w:hideMark/>
          </w:tcPr>
          <w:p w:rsidR="00AE2169" w:rsidRPr="00C80CBE" w:rsidRDefault="003450DE" w:rsidP="00B477D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Para el numerador s</w:t>
            </w:r>
            <w:r w:rsidR="00AE2169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e utiliza 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una </w:t>
            </w:r>
            <w:r w:rsidR="00AE2169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variables proxy en base a la liquidez de primera y segunda línea.</w:t>
            </w:r>
          </w:p>
          <w:p w:rsidR="00AE2169" w:rsidRPr="00C80CBE" w:rsidRDefault="00AE2169" w:rsidP="00B477D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Para el cómputo de los activos de primera</w:t>
            </w:r>
            <w:r w:rsidR="00FC11B5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línea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, además de la ubicación  contable en los estados de situación conforme </w:t>
            </w:r>
            <w:r w:rsidR="00FC11B5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a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l catálogo único de cuentas</w:t>
            </w:r>
            <w:r w:rsidR="00B23BCF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(CUC)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, se debe analizar las características de los activos para ver si </w:t>
            </w:r>
            <w:r w:rsidR="003450DE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cumplen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ciertas condiciones rela</w:t>
            </w:r>
            <w:r w:rsidR="00B23BCF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cionadas con el emisor para ubicarlos en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primera o segunda línea.</w:t>
            </w:r>
          </w:p>
          <w:p w:rsidR="00AE2169" w:rsidRPr="00C80CBE" w:rsidRDefault="00AE2169" w:rsidP="00B477D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Por lo que su cómputo no se puede expresar únicamente a través de códigos contables.</w:t>
            </w:r>
          </w:p>
          <w:p w:rsidR="00B477DA" w:rsidRPr="00C80CBE" w:rsidRDefault="00F60D80" w:rsidP="00B477D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L</w:t>
            </w:r>
            <w:r w:rsidR="00D732F6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os códigos contables 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corresponde</w:t>
            </w:r>
            <w:r w:rsidR="00D732F6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n</w:t>
            </w:r>
            <w:r w:rsidR="00FC11B5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a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l CUC vigente a partir de agosto de 2015</w:t>
            </w:r>
            <w:r w:rsidR="0073410E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.</w:t>
            </w:r>
          </w:p>
          <w:p w:rsidR="00906041" w:rsidRPr="00C80CBE" w:rsidRDefault="00906041" w:rsidP="0090604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Naciones Unidas dispone que se usen los Indicadores de Solidez para el seguimiento del objetivo 10</w:t>
            </w:r>
            <w:r w:rsidR="00480B23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meta 10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.5 pero no ha </w:t>
            </w:r>
            <w:r w:rsidR="00FC11B5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señalado</w:t>
            </w:r>
            <w:r w:rsidR="00B23BCF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cuá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les indicadores específicos deberán utilizarse de las Estadísticas de Solidez para monitorear la meta 10.5</w:t>
            </w:r>
            <w:r w:rsidR="00B23BCF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.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Según correo de </w:t>
            </w:r>
            <w:proofErr w:type="spellStart"/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Benhamin</w:t>
            </w:r>
            <w:proofErr w:type="spellEnd"/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RAE de Naciones Unidas, la Comisión de Expertos de Indicadores ODS (integrada por varias agencias internacionales) está es</w:t>
            </w:r>
            <w:r w:rsidR="00B23BCF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perando que el FMI determine qué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indicadores se deben usar para la meta 10.5.</w:t>
            </w:r>
          </w:p>
          <w:p w:rsidR="00480B23" w:rsidRPr="00C80CBE" w:rsidRDefault="00480B23" w:rsidP="0090604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Por pedido del INEC se </w:t>
            </w:r>
            <w:proofErr w:type="spellStart"/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selecionaron</w:t>
            </w:r>
            <w:proofErr w:type="spellEnd"/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ratios de los indicadores de Solidez Financiera para la meta 10.5</w:t>
            </w:r>
            <w:r w:rsidR="00B23BCF"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,</w:t>
            </w: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el </w:t>
            </w:r>
            <w:proofErr w:type="spellStart"/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escogitamiento</w:t>
            </w:r>
            <w:proofErr w:type="spellEnd"/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 se basó en los artículos 222 y 224 del Código Orgánico Monetario y Financiero.</w:t>
            </w:r>
          </w:p>
          <w:p w:rsidR="000752AE" w:rsidRPr="00C80CBE" w:rsidRDefault="00906041" w:rsidP="00906041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C80CBE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Los datos agregados desde el 2012 sólo cubre el sector financiero controlado por la SB.</w:t>
            </w:r>
          </w:p>
        </w:tc>
      </w:tr>
      <w:tr w:rsidR="004E7BA5" w:rsidRPr="00C80CBE" w:rsidTr="00480B23">
        <w:trPr>
          <w:trHeight w:val="567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</w:tcPr>
          <w:p w:rsidR="004E7BA5" w:rsidRPr="00C80CBE" w:rsidRDefault="004E7BA5" w:rsidP="00F74C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UNIDAD DE MEDIDA O EXPRESIÓN DEL INDICADOR 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</w:tcPr>
          <w:p w:rsidR="004E7BA5" w:rsidRPr="00C80CBE" w:rsidRDefault="004E7BA5" w:rsidP="00C26D3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10246" w:rsidRPr="00C80CBE">
              <w:rPr>
                <w:rFonts w:ascii="Arial" w:eastAsia="Times New Roman" w:hAnsi="Arial" w:cs="Arial"/>
                <w:sz w:val="20"/>
                <w:szCs w:val="20"/>
              </w:rPr>
              <w:t>Porcentaje.</w:t>
            </w:r>
          </w:p>
        </w:tc>
      </w:tr>
      <w:tr w:rsidR="004E7BA5" w:rsidRPr="00C80CBE" w:rsidTr="00480B23">
        <w:trPr>
          <w:trHeight w:val="630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  <w:hideMark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INTERPRETACIÓN DEL INDICADOR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  <w:hideMark/>
          </w:tcPr>
          <w:p w:rsidR="00117D34" w:rsidRDefault="00117D34" w:rsidP="00117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M</w:t>
            </w:r>
            <w:r>
              <w:rPr>
                <w:rFonts w:ascii="Times-Roman" w:hAnsi="Times-Roman" w:cs="Times-Roman"/>
                <w:sz w:val="20"/>
                <w:szCs w:val="20"/>
              </w:rPr>
              <w:t>ide la liquidez disponible para satisfacer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</w:t>
            </w:r>
            <w:r>
              <w:rPr>
                <w:rFonts w:ascii="Times-Roman" w:hAnsi="Times-Roman" w:cs="Times-Roman"/>
                <w:sz w:val="20"/>
                <w:szCs w:val="20"/>
              </w:rPr>
              <w:t>las demandas previstas e imprevistas de efectivo</w:t>
            </w:r>
            <w:r>
              <w:rPr>
                <w:rStyle w:val="Refdenotaalpie"/>
                <w:rFonts w:ascii="Times-Roman" w:hAnsi="Times-Roman" w:cs="Times-Roman"/>
                <w:sz w:val="20"/>
                <w:szCs w:val="20"/>
              </w:rPr>
              <w:footnoteReference w:id="1"/>
            </w:r>
            <w:r>
              <w:rPr>
                <w:rFonts w:ascii="Times-Roman" w:hAnsi="Times-Roman" w:cs="Times-Roman"/>
                <w:sz w:val="20"/>
                <w:szCs w:val="20"/>
              </w:rPr>
              <w:t>.</w:t>
            </w:r>
          </w:p>
          <w:p w:rsidR="004E7BA5" w:rsidRPr="006D7B53" w:rsidRDefault="006D7B53" w:rsidP="00117D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</w:t>
            </w:r>
            <w:r w:rsidRPr="006D7B53">
              <w:rPr>
                <w:rFonts w:ascii="Times-Roman" w:hAnsi="Times-Roman" w:cs="Times-Roman"/>
                <w:sz w:val="20"/>
                <w:szCs w:val="20"/>
              </w:rPr>
              <w:t>etermina el grado de contracción del balance que el sector podría soportar antes de verse obligado a vender activos no líquidos</w:t>
            </w:r>
            <w:r w:rsidR="00C80CBE" w:rsidRPr="006D7B53">
              <w:rPr>
                <w:rStyle w:val="Refdenotaalpie"/>
                <w:rFonts w:ascii="Arial" w:hAnsi="Arial" w:cs="Arial"/>
                <w:color w:val="000000" w:themeColor="text1"/>
                <w:sz w:val="20"/>
                <w:szCs w:val="20"/>
              </w:rPr>
              <w:footnoteReference w:id="2"/>
            </w:r>
            <w:r w:rsidR="00C80CBE" w:rsidRPr="006D7B5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4E7BA5" w:rsidRPr="00C80CBE" w:rsidTr="00480B23">
        <w:trPr>
          <w:trHeight w:val="627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  <w:hideMark/>
          </w:tcPr>
          <w:p w:rsidR="004E7BA5" w:rsidRPr="00C80CBE" w:rsidRDefault="004E7BA5" w:rsidP="00B23BC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  <w:hideMark/>
          </w:tcPr>
          <w:p w:rsidR="006B4999" w:rsidRPr="00C80CBE" w:rsidRDefault="006B4999" w:rsidP="006B4999">
            <w:pPr>
              <w:pStyle w:val="NormalWeb"/>
              <w:spacing w:before="0" w:beforeAutospacing="0" w:after="0" w:afterAutospacing="0"/>
              <w:jc w:val="both"/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es-EC" w:eastAsia="en-US"/>
              </w:rPr>
            </w:pPr>
            <w:r w:rsidRPr="00C80CBE"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es-EC" w:eastAsia="en-US"/>
              </w:rPr>
              <w:t>Estadísticas de las Estructuras Integradas de Información:</w:t>
            </w:r>
          </w:p>
          <w:p w:rsidR="00C80CBE" w:rsidRPr="00C80CBE" w:rsidRDefault="00C80CBE" w:rsidP="006B4999">
            <w:pPr>
              <w:pStyle w:val="NormalWeb"/>
              <w:spacing w:before="0" w:beforeAutospacing="0" w:after="0" w:afterAutospacing="0"/>
              <w:jc w:val="both"/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es-EC" w:eastAsia="en-US"/>
              </w:rPr>
            </w:pPr>
          </w:p>
          <w:p w:rsidR="004E7BA5" w:rsidRPr="00C80CBE" w:rsidRDefault="006B4999" w:rsidP="006B4999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C"/>
              </w:rPr>
            </w:pPr>
            <w:r w:rsidRPr="00C80CBE">
              <w:rPr>
                <w:rFonts w:ascii="Arial" w:eastAsia="Calibri" w:hAnsi="Arial" w:cs="Arial"/>
                <w:iCs/>
                <w:color w:val="000000"/>
                <w:sz w:val="20"/>
                <w:szCs w:val="20"/>
                <w:lang w:val="es-EC" w:eastAsia="en-US"/>
              </w:rPr>
              <w:t>Datos Agregados de cartera improductiva y cartera bruta para las Estadísticas de los Indicadores de Solidez Financiera (Superintendencia de Bancos)</w:t>
            </w:r>
          </w:p>
        </w:tc>
      </w:tr>
      <w:tr w:rsidR="004E7BA5" w:rsidRPr="00C80CBE" w:rsidTr="00480B23">
        <w:trPr>
          <w:trHeight w:val="741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  <w:hideMark/>
          </w:tcPr>
          <w:p w:rsidR="004E7BA5" w:rsidRPr="00C80CBE" w:rsidRDefault="004E7BA5" w:rsidP="0059347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PERIODICIDAD DE REPORTE DEL INDICADOR 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  <w:hideMark/>
          </w:tcPr>
          <w:p w:rsidR="004E7BA5" w:rsidRPr="00C80CBE" w:rsidRDefault="00304F9F" w:rsidP="0059347C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sz w:val="20"/>
                <w:szCs w:val="20"/>
              </w:rPr>
              <w:t>Anual</w:t>
            </w:r>
          </w:p>
        </w:tc>
      </w:tr>
      <w:tr w:rsidR="004E7BA5" w:rsidRPr="00C80CBE" w:rsidTr="00480B23">
        <w:trPr>
          <w:trHeight w:val="513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  <w:hideMark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DISPONIBILIDAD DE LOS DATOS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  <w:hideMark/>
          </w:tcPr>
          <w:p w:rsidR="004E7BA5" w:rsidRPr="00C80CBE" w:rsidRDefault="00B23BCF" w:rsidP="00B23BCF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sz w:val="20"/>
                <w:szCs w:val="20"/>
              </w:rPr>
              <w:t>Desde el año 2007, con corte al</w:t>
            </w:r>
            <w:r w:rsidR="000752AE" w:rsidRPr="00C80CBE">
              <w:rPr>
                <w:rFonts w:ascii="Arial" w:eastAsia="Times New Roman" w:hAnsi="Arial" w:cs="Arial"/>
                <w:sz w:val="20"/>
                <w:szCs w:val="20"/>
              </w:rPr>
              <w:t xml:space="preserve"> 31</w:t>
            </w:r>
            <w:r w:rsidRPr="00C80CBE">
              <w:rPr>
                <w:rFonts w:ascii="Arial" w:eastAsia="Times New Roman" w:hAnsi="Arial" w:cs="Arial"/>
                <w:sz w:val="20"/>
                <w:szCs w:val="20"/>
              </w:rPr>
              <w:t xml:space="preserve"> de diciembre</w:t>
            </w:r>
            <w:r w:rsidR="000752AE" w:rsidRPr="00C80CB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4E7BA5" w:rsidRPr="00C80CBE" w:rsidTr="00142C2A">
        <w:trPr>
          <w:trHeight w:val="450"/>
          <w:tblCellSpacing w:w="20" w:type="dxa"/>
        </w:trPr>
        <w:tc>
          <w:tcPr>
            <w:tcW w:w="1057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NIVEL DE DESAGREGACIÓN</w:t>
            </w:r>
          </w:p>
        </w:tc>
        <w:tc>
          <w:tcPr>
            <w:tcW w:w="1305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GEOGRÁFICO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</w:tcPr>
          <w:p w:rsidR="004E7BA5" w:rsidRPr="00C80CBE" w:rsidRDefault="00B23BCF" w:rsidP="00C80CBE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80CBE">
              <w:rPr>
                <w:rFonts w:ascii="Arial" w:hAnsi="Arial" w:cs="Arial"/>
                <w:sz w:val="20"/>
                <w:szCs w:val="20"/>
                <w:lang w:eastAsia="en-US"/>
              </w:rPr>
              <w:t>Nacional</w:t>
            </w:r>
            <w:r w:rsidR="00C80CBE" w:rsidRPr="00C80CBE">
              <w:rPr>
                <w:rStyle w:val="Refdenotaalpie"/>
                <w:rFonts w:ascii="Arial" w:hAnsi="Arial" w:cs="Arial"/>
                <w:sz w:val="20"/>
                <w:szCs w:val="20"/>
                <w:lang w:eastAsia="en-US"/>
              </w:rPr>
              <w:footnoteReference w:id="3"/>
            </w:r>
            <w:r w:rsidRPr="00C80CB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E7BA5" w:rsidRPr="00C80CBE" w:rsidTr="00142C2A">
        <w:trPr>
          <w:trHeight w:val="334"/>
          <w:tblCellSpacing w:w="20" w:type="dxa"/>
        </w:trPr>
        <w:tc>
          <w:tcPr>
            <w:tcW w:w="1057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5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GENERAL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</w:tcPr>
          <w:p w:rsidR="004E7BA5" w:rsidRPr="00C80CBE" w:rsidRDefault="00C80CBE" w:rsidP="00C26D32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80CBE">
              <w:rPr>
                <w:rFonts w:ascii="Arial" w:hAnsi="Arial" w:cs="Arial"/>
                <w:sz w:val="20"/>
                <w:szCs w:val="20"/>
              </w:rPr>
              <w:t>No aplica.</w:t>
            </w:r>
          </w:p>
        </w:tc>
      </w:tr>
      <w:tr w:rsidR="004E7BA5" w:rsidRPr="00C80CBE" w:rsidTr="00142C2A">
        <w:trPr>
          <w:trHeight w:val="314"/>
          <w:tblCellSpacing w:w="20" w:type="dxa"/>
        </w:trPr>
        <w:tc>
          <w:tcPr>
            <w:tcW w:w="1057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5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OTROS ÁMBITOS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</w:tcPr>
          <w:p w:rsidR="004E7BA5" w:rsidRPr="00C80CBE" w:rsidRDefault="00C80CBE" w:rsidP="00004233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80CBE">
              <w:rPr>
                <w:rFonts w:ascii="Arial" w:hAnsi="Arial" w:cs="Arial"/>
                <w:sz w:val="20"/>
                <w:szCs w:val="20"/>
              </w:rPr>
              <w:t>No aplica.</w:t>
            </w:r>
          </w:p>
        </w:tc>
      </w:tr>
      <w:tr w:rsidR="004E7BA5" w:rsidRPr="00C80CBE" w:rsidTr="00142C2A">
        <w:trPr>
          <w:trHeight w:val="450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  <w:hideMark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INFORMACIÓN GEO – REFERENCIADA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  <w:hideMark/>
          </w:tcPr>
          <w:p w:rsidR="004E7BA5" w:rsidRPr="00C80CBE" w:rsidRDefault="00C80CBE" w:rsidP="0000423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0CBE">
              <w:rPr>
                <w:rFonts w:ascii="Arial" w:hAnsi="Arial" w:cs="Arial"/>
                <w:sz w:val="20"/>
                <w:szCs w:val="20"/>
              </w:rPr>
              <w:t>No aplica.</w:t>
            </w:r>
          </w:p>
        </w:tc>
      </w:tr>
      <w:tr w:rsidR="004E7BA5" w:rsidRPr="00C80CBE" w:rsidTr="00480B23">
        <w:trPr>
          <w:trHeight w:val="970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  <w:hideMark/>
          </w:tcPr>
          <w:p w:rsidR="004E7BA5" w:rsidRPr="00C80CBE" w:rsidRDefault="004E7BA5" w:rsidP="004E0B7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RELACI</w:t>
            </w:r>
            <w:r w:rsidRPr="00C80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ÓN CON  INSTRUMENTOS DE PLANIFICACIÓN NACIONAL </w:t>
            </w:r>
            <w:r w:rsidRPr="00C80CBE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C80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INTERNACIONAL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  <w:hideMark/>
          </w:tcPr>
          <w:p w:rsidR="00C80CBE" w:rsidRPr="00C80CBE" w:rsidRDefault="00C80CBE" w:rsidP="00C80CBE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sz w:val="20"/>
                <w:szCs w:val="20"/>
              </w:rPr>
              <w:t>Agenda de Desarrollo 2030 – Objetivos de Desarrollo Sostenible</w:t>
            </w:r>
          </w:p>
          <w:p w:rsidR="006F6534" w:rsidRPr="00C80CBE" w:rsidRDefault="006F6534" w:rsidP="00C80CBE">
            <w:pPr>
              <w:pStyle w:val="Textocomentario"/>
              <w:ind w:left="720"/>
              <w:jc w:val="both"/>
              <w:rPr>
                <w:rFonts w:ascii="Arial" w:hAnsi="Arial" w:cs="Arial"/>
              </w:rPr>
            </w:pPr>
          </w:p>
          <w:p w:rsidR="006F6534" w:rsidRPr="00C80CBE" w:rsidRDefault="006F6534" w:rsidP="006F6534">
            <w:pPr>
              <w:pStyle w:val="Textocomentario"/>
              <w:jc w:val="both"/>
              <w:rPr>
                <w:rFonts w:ascii="Arial" w:hAnsi="Arial" w:cs="Arial"/>
              </w:rPr>
            </w:pPr>
            <w:r w:rsidRPr="00C80CBE">
              <w:rPr>
                <w:rFonts w:ascii="Arial" w:hAnsi="Arial" w:cs="Arial"/>
                <w:b/>
              </w:rPr>
              <w:t>Objetivo 10:</w:t>
            </w:r>
            <w:r w:rsidRPr="00C80CBE">
              <w:rPr>
                <w:rFonts w:ascii="Arial" w:hAnsi="Arial" w:cs="Arial"/>
              </w:rPr>
              <w:t xml:space="preserve"> Reducir la desigualdad dentro y entre países.</w:t>
            </w:r>
          </w:p>
          <w:p w:rsidR="00C80CBE" w:rsidRPr="00C80CBE" w:rsidRDefault="00C80CBE" w:rsidP="006F6534">
            <w:pPr>
              <w:pStyle w:val="Textocomentario"/>
              <w:jc w:val="both"/>
              <w:rPr>
                <w:rFonts w:ascii="Arial" w:hAnsi="Arial" w:cs="Arial"/>
              </w:rPr>
            </w:pPr>
          </w:p>
          <w:p w:rsidR="00B23BCF" w:rsidRPr="00C80CBE" w:rsidRDefault="006F6534" w:rsidP="006F6534">
            <w:pPr>
              <w:pStyle w:val="Textocomentario"/>
              <w:jc w:val="both"/>
              <w:rPr>
                <w:rFonts w:ascii="Arial" w:hAnsi="Arial" w:cs="Arial"/>
              </w:rPr>
            </w:pPr>
            <w:r w:rsidRPr="00C80CBE">
              <w:rPr>
                <w:rFonts w:ascii="Arial" w:hAnsi="Arial" w:cs="Arial"/>
                <w:b/>
              </w:rPr>
              <w:t>Meta 10.5</w:t>
            </w:r>
            <w:r w:rsidR="006B4999" w:rsidRPr="00C80CBE">
              <w:rPr>
                <w:rFonts w:ascii="Arial" w:hAnsi="Arial" w:cs="Arial"/>
                <w:b/>
              </w:rPr>
              <w:t>:</w:t>
            </w:r>
            <w:r w:rsidRPr="00C80CBE">
              <w:rPr>
                <w:rFonts w:ascii="Arial" w:hAnsi="Arial" w:cs="Arial"/>
              </w:rPr>
              <w:t xml:space="preserve"> Mejorar la regulación y supervisión de los mercados financieros globales y de las instituciones y fortalecer la aplicación de dichas normas.</w:t>
            </w:r>
          </w:p>
          <w:p w:rsidR="00C80CBE" w:rsidRPr="00C80CBE" w:rsidRDefault="00C80CBE" w:rsidP="006F6534">
            <w:pPr>
              <w:pStyle w:val="Textocomentario"/>
              <w:jc w:val="both"/>
              <w:rPr>
                <w:rFonts w:ascii="Arial" w:hAnsi="Arial" w:cs="Arial"/>
              </w:rPr>
            </w:pPr>
          </w:p>
        </w:tc>
      </w:tr>
      <w:tr w:rsidR="004E7BA5" w:rsidRPr="00C80CBE" w:rsidTr="00480B23">
        <w:trPr>
          <w:trHeight w:val="982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REFERENCIAS BIBLIOGRÁFICAS DE LA CONSTRUCCIÓN DEL INDICADOR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</w:tcPr>
          <w:p w:rsidR="0073410E" w:rsidRPr="00C80CBE" w:rsidRDefault="000752AE" w:rsidP="00F954D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</w:pPr>
            <w:r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 xml:space="preserve">Indicadores de solidez financiera: Guía </w:t>
            </w:r>
            <w:r w:rsidR="00F954D1"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de compilación—Washington, D.C.</w:t>
            </w:r>
            <w:r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: Fondo</w:t>
            </w:r>
            <w:r w:rsidR="00F954D1"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3410E"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Monetario Internacional, 2006.</w:t>
            </w:r>
          </w:p>
          <w:p w:rsidR="004A6C98" w:rsidRPr="00C80CBE" w:rsidRDefault="00B23BCF" w:rsidP="00F954D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</w:pPr>
            <w:r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Catálogo Ú</w:t>
            </w:r>
            <w:r w:rsidR="00BA301E"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nico de C</w:t>
            </w:r>
            <w:r w:rsidR="0073410E"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uentas</w:t>
            </w:r>
            <w:r w:rsidR="00BA301E"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.</w:t>
            </w:r>
            <w:r w:rsidR="0073410E"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B23BCF" w:rsidRPr="00C80CBE" w:rsidRDefault="00B23BCF" w:rsidP="00F954D1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</w:pPr>
            <w:r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 xml:space="preserve">Codificación de Resoluciones de la </w:t>
            </w:r>
            <w:r w:rsidR="00F954D1"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SB y Junta Banca</w:t>
            </w:r>
            <w:r w:rsidRPr="00C80CBE"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ria.</w:t>
            </w:r>
          </w:p>
          <w:p w:rsidR="00C80CBE" w:rsidRPr="00C80CBE" w:rsidRDefault="00C80CBE" w:rsidP="00C80CB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4E7BA5" w:rsidRPr="00C80CBE" w:rsidTr="0093505D">
        <w:trPr>
          <w:trHeight w:val="433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  <w:hideMark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 DE LA FICHA METODOLÓGICA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  <w:hideMark/>
          </w:tcPr>
          <w:p w:rsidR="004E7BA5" w:rsidRPr="00C80CBE" w:rsidRDefault="00F954D1" w:rsidP="007235A9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13/10/</w:t>
            </w:r>
            <w:r w:rsidR="000752AE" w:rsidRPr="00C80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2016</w:t>
            </w:r>
          </w:p>
        </w:tc>
      </w:tr>
      <w:tr w:rsidR="004E7BA5" w:rsidRPr="00C80CBE" w:rsidTr="0093505D">
        <w:trPr>
          <w:trHeight w:val="559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  <w:hideMark/>
          </w:tcPr>
          <w:p w:rsidR="004E7BA5" w:rsidRPr="00C80CBE" w:rsidRDefault="004E7BA5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LA ÚLTIMA ACTUALIZACIÓN DE LA FICHA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  <w:hideMark/>
          </w:tcPr>
          <w:p w:rsidR="004E7BA5" w:rsidRPr="00C80CBE" w:rsidRDefault="00F954D1" w:rsidP="007C555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09/11/2016</w:t>
            </w:r>
          </w:p>
        </w:tc>
      </w:tr>
      <w:tr w:rsidR="00480B23" w:rsidRPr="00C80CBE" w:rsidTr="00480B23">
        <w:trPr>
          <w:trHeight w:val="781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</w:tcPr>
          <w:p w:rsidR="00480B23" w:rsidRPr="00C80CBE" w:rsidRDefault="00480B23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CLASIFICADOR TEMATICO</w:t>
            </w:r>
          </w:p>
        </w:tc>
        <w:tc>
          <w:tcPr>
            <w:tcW w:w="1273" w:type="pct"/>
            <w:shd w:val="clear" w:color="auto" w:fill="auto"/>
            <w:vAlign w:val="center"/>
          </w:tcPr>
          <w:p w:rsidR="00480B23" w:rsidRPr="00C80CBE" w:rsidRDefault="00F954D1" w:rsidP="007C555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 Estadísticas Económicas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480B23" w:rsidRPr="00C80CBE" w:rsidRDefault="00F954D1" w:rsidP="007C555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2.4.6 Banca, seguros y estadísticas financieras</w:t>
            </w:r>
          </w:p>
        </w:tc>
      </w:tr>
      <w:tr w:rsidR="000752AE" w:rsidRPr="00C80CBE" w:rsidTr="00480B23">
        <w:trPr>
          <w:trHeight w:val="591"/>
          <w:tblCellSpacing w:w="20" w:type="dxa"/>
        </w:trPr>
        <w:tc>
          <w:tcPr>
            <w:tcW w:w="2382" w:type="pct"/>
            <w:gridSpan w:val="3"/>
            <w:shd w:val="clear" w:color="auto" w:fill="C6D9F1"/>
            <w:vAlign w:val="center"/>
          </w:tcPr>
          <w:p w:rsidR="000752AE" w:rsidRPr="00C80CBE" w:rsidRDefault="000752AE" w:rsidP="0000423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ELABORADO POR</w:t>
            </w:r>
          </w:p>
        </w:tc>
        <w:tc>
          <w:tcPr>
            <w:tcW w:w="2557" w:type="pct"/>
            <w:gridSpan w:val="2"/>
            <w:shd w:val="clear" w:color="auto" w:fill="auto"/>
            <w:vAlign w:val="center"/>
          </w:tcPr>
          <w:p w:rsidR="00F954D1" w:rsidRPr="00C80CBE" w:rsidRDefault="00F954D1" w:rsidP="003366D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Mesa Temática de Estadísticas Económicas</w:t>
            </w:r>
          </w:p>
          <w:p w:rsidR="000752AE" w:rsidRPr="00C80CBE" w:rsidRDefault="00C80CBE" w:rsidP="003366D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Responsable: </w:t>
            </w:r>
            <w:r w:rsidR="00480B23" w:rsidRPr="00C80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Superintendencia de Bancos</w:t>
            </w:r>
            <w:r w:rsidR="00ED68F0" w:rsidRPr="00C80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Dirección Nacional de Estudios e Información</w:t>
            </w:r>
          </w:p>
        </w:tc>
      </w:tr>
      <w:tr w:rsidR="000752AE" w:rsidRPr="00C80CBE" w:rsidTr="004E4B6E">
        <w:trPr>
          <w:trHeight w:val="513"/>
          <w:tblCellSpacing w:w="20" w:type="dxa"/>
        </w:trPr>
        <w:tc>
          <w:tcPr>
            <w:tcW w:w="4959" w:type="pct"/>
            <w:gridSpan w:val="5"/>
            <w:shd w:val="clear" w:color="auto" w:fill="548DD4" w:themeFill="text2" w:themeFillTint="99"/>
            <w:vAlign w:val="center"/>
          </w:tcPr>
          <w:p w:rsidR="000752AE" w:rsidRPr="00C80CBE" w:rsidRDefault="000752AE" w:rsidP="000320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ANEXOS</w:t>
            </w:r>
          </w:p>
        </w:tc>
      </w:tr>
      <w:tr w:rsidR="000752AE" w:rsidRPr="00C80CBE" w:rsidTr="004E4B6E">
        <w:trPr>
          <w:trHeight w:val="513"/>
          <w:tblCellSpacing w:w="20" w:type="dxa"/>
        </w:trPr>
        <w:tc>
          <w:tcPr>
            <w:tcW w:w="4959" w:type="pct"/>
            <w:gridSpan w:val="5"/>
            <w:shd w:val="clear" w:color="auto" w:fill="548DD4" w:themeFill="text2" w:themeFillTint="99"/>
            <w:vAlign w:val="center"/>
          </w:tcPr>
          <w:p w:rsidR="000752AE" w:rsidRPr="00C80CBE" w:rsidRDefault="000752AE" w:rsidP="000320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752AE" w:rsidRPr="00C80CBE" w:rsidTr="000320E4">
        <w:trPr>
          <w:trHeight w:val="513"/>
          <w:tblCellSpacing w:w="20" w:type="dxa"/>
        </w:trPr>
        <w:tc>
          <w:tcPr>
            <w:tcW w:w="4959" w:type="pct"/>
            <w:gridSpan w:val="5"/>
            <w:shd w:val="clear" w:color="auto" w:fill="C6D9F1"/>
            <w:vAlign w:val="center"/>
            <w:hideMark/>
          </w:tcPr>
          <w:p w:rsidR="000752AE" w:rsidRPr="00C80CBE" w:rsidRDefault="000752AE" w:rsidP="000320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SINTAXIS</w:t>
            </w:r>
            <w:r w:rsidR="00026754" w:rsidRPr="00C80C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: </w:t>
            </w:r>
          </w:p>
          <w:p w:rsidR="00026754" w:rsidRPr="00C80CBE" w:rsidRDefault="00026754" w:rsidP="000267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2AE" w:rsidRPr="00C80CBE" w:rsidTr="008F530F">
        <w:trPr>
          <w:trHeight w:val="513"/>
          <w:tblCellSpacing w:w="20" w:type="dxa"/>
        </w:trPr>
        <w:tc>
          <w:tcPr>
            <w:tcW w:w="4959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0752AE" w:rsidRPr="00C80CBE" w:rsidRDefault="000752AE" w:rsidP="00C26D32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C80CB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</w:t>
            </w:r>
            <w:r w:rsidRPr="00C80C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:rsidR="00D055E1" w:rsidRPr="00C44C5E" w:rsidRDefault="00D055E1" w:rsidP="00483C01">
      <w:pPr>
        <w:rPr>
          <w:rFonts w:asciiTheme="minorHAnsi" w:hAnsiTheme="minorHAnsi" w:cs="Arial"/>
          <w:sz w:val="20"/>
          <w:szCs w:val="20"/>
          <w:lang w:val="es-ES"/>
        </w:rPr>
      </w:pPr>
    </w:p>
    <w:sectPr w:rsidR="00D055E1" w:rsidRPr="00C44C5E" w:rsidSect="009B1DB6">
      <w:headerReference w:type="default" r:id="rId9"/>
      <w:footerReference w:type="default" r:id="rId10"/>
      <w:pgSz w:w="12240" w:h="15840"/>
      <w:pgMar w:top="1418" w:right="1701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AD2" w:rsidRDefault="006D0AD2" w:rsidP="00004233">
      <w:pPr>
        <w:spacing w:after="0" w:line="240" w:lineRule="auto"/>
      </w:pPr>
      <w:r>
        <w:separator/>
      </w:r>
    </w:p>
  </w:endnote>
  <w:endnote w:type="continuationSeparator" w:id="0">
    <w:p w:rsidR="006D0AD2" w:rsidRDefault="006D0AD2" w:rsidP="00004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699044"/>
      <w:docPartObj>
        <w:docPartGallery w:val="Page Numbers (Bottom of Page)"/>
        <w:docPartUnique/>
      </w:docPartObj>
    </w:sdtPr>
    <w:sdtEndPr/>
    <w:sdtContent>
      <w:p w:rsidR="00041571" w:rsidRDefault="0004157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D34" w:rsidRPr="00117D34">
          <w:rPr>
            <w:noProof/>
            <w:lang w:val="es-ES"/>
          </w:rPr>
          <w:t>2</w:t>
        </w:r>
        <w:r>
          <w:fldChar w:fldCharType="end"/>
        </w:r>
      </w:p>
    </w:sdtContent>
  </w:sdt>
  <w:p w:rsidR="00041571" w:rsidRDefault="0004157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AD2" w:rsidRDefault="006D0AD2" w:rsidP="00004233">
      <w:pPr>
        <w:spacing w:after="0" w:line="240" w:lineRule="auto"/>
      </w:pPr>
      <w:r>
        <w:separator/>
      </w:r>
    </w:p>
  </w:footnote>
  <w:footnote w:type="continuationSeparator" w:id="0">
    <w:p w:rsidR="006D0AD2" w:rsidRDefault="006D0AD2" w:rsidP="00004233">
      <w:pPr>
        <w:spacing w:after="0" w:line="240" w:lineRule="auto"/>
      </w:pPr>
      <w:r>
        <w:continuationSeparator/>
      </w:r>
    </w:p>
  </w:footnote>
  <w:footnote w:id="1">
    <w:p w:rsidR="00117D34" w:rsidRPr="00117D34" w:rsidRDefault="00117D34">
      <w:pPr>
        <w:pStyle w:val="Textonotapie"/>
        <w:rPr>
          <w:rFonts w:ascii="Arial" w:hAnsi="Arial" w:cs="Arial"/>
          <w:sz w:val="16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117D34">
        <w:rPr>
          <w:rFonts w:ascii="Arial" w:hAnsi="Arial" w:cs="Arial"/>
          <w:sz w:val="16"/>
          <w:szCs w:val="16"/>
        </w:rPr>
        <w:t xml:space="preserve">FMI, Indicadores de Solidez Financiera, </w:t>
      </w:r>
      <w:proofErr w:type="spellStart"/>
      <w:r w:rsidRPr="00117D34">
        <w:rPr>
          <w:rFonts w:ascii="Arial" w:hAnsi="Arial" w:cs="Arial"/>
          <w:sz w:val="16"/>
          <w:szCs w:val="16"/>
        </w:rPr>
        <w:t>Guia</w:t>
      </w:r>
      <w:proofErr w:type="spellEnd"/>
      <w:r w:rsidRPr="00117D34">
        <w:rPr>
          <w:rFonts w:ascii="Arial" w:hAnsi="Arial" w:cs="Arial"/>
          <w:sz w:val="16"/>
          <w:szCs w:val="16"/>
        </w:rPr>
        <w:t xml:space="preserve"> de Compilación, 2006, p.  201.</w:t>
      </w:r>
    </w:p>
  </w:footnote>
  <w:footnote w:id="2">
    <w:p w:rsidR="00C80CBE" w:rsidRPr="00117D34" w:rsidRDefault="00C80CBE" w:rsidP="00C80C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17D34">
        <w:rPr>
          <w:rStyle w:val="Refdenotaalpie"/>
          <w:rFonts w:ascii="Arial" w:hAnsi="Arial" w:cs="Arial"/>
          <w:sz w:val="16"/>
          <w:szCs w:val="16"/>
        </w:rPr>
        <w:footnoteRef/>
      </w:r>
      <w:r w:rsidRPr="00117D34">
        <w:rPr>
          <w:rFonts w:ascii="Arial" w:hAnsi="Arial" w:cs="Arial"/>
          <w:sz w:val="16"/>
          <w:szCs w:val="16"/>
        </w:rPr>
        <w:t xml:space="preserve"> </w:t>
      </w:r>
      <w:r w:rsidR="00117D34" w:rsidRPr="00117D34">
        <w:rPr>
          <w:rFonts w:ascii="Arial" w:hAnsi="Arial" w:cs="Arial"/>
          <w:sz w:val="16"/>
          <w:szCs w:val="16"/>
        </w:rPr>
        <w:t xml:space="preserve">FMI, Indicadores de Solidez Financiera, </w:t>
      </w:r>
      <w:proofErr w:type="spellStart"/>
      <w:r w:rsidR="00117D34" w:rsidRPr="00117D34">
        <w:rPr>
          <w:rFonts w:ascii="Arial" w:hAnsi="Arial" w:cs="Arial"/>
          <w:sz w:val="16"/>
          <w:szCs w:val="16"/>
        </w:rPr>
        <w:t>Guia</w:t>
      </w:r>
      <w:proofErr w:type="spellEnd"/>
      <w:r w:rsidR="00117D34" w:rsidRPr="00117D34">
        <w:rPr>
          <w:rFonts w:ascii="Arial" w:hAnsi="Arial" w:cs="Arial"/>
          <w:sz w:val="16"/>
          <w:szCs w:val="16"/>
        </w:rPr>
        <w:t xml:space="preserve"> de Compilación, 2006, p. </w:t>
      </w:r>
      <w:r w:rsidR="00117D34">
        <w:rPr>
          <w:rFonts w:ascii="Arial" w:hAnsi="Arial" w:cs="Arial"/>
          <w:sz w:val="16"/>
          <w:szCs w:val="16"/>
        </w:rPr>
        <w:t xml:space="preserve"> 169.</w:t>
      </w:r>
      <w:bookmarkStart w:id="0" w:name="_GoBack"/>
      <w:bookmarkEnd w:id="0"/>
      <w:r w:rsidR="00117D34" w:rsidRPr="00117D34">
        <w:rPr>
          <w:rFonts w:ascii="Arial" w:hAnsi="Arial" w:cs="Arial"/>
          <w:sz w:val="16"/>
          <w:szCs w:val="16"/>
        </w:rPr>
        <w:t xml:space="preserve"> </w:t>
      </w:r>
      <w:r w:rsidRPr="00117D34">
        <w:rPr>
          <w:rFonts w:ascii="Arial" w:hAnsi="Arial" w:cs="Arial"/>
          <w:color w:val="000000" w:themeColor="text1"/>
          <w:sz w:val="16"/>
          <w:szCs w:val="16"/>
          <w:lang w:val="es-ES_tradnl"/>
        </w:rPr>
        <w:t>E</w:t>
      </w:r>
      <w:proofErr w:type="spellStart"/>
      <w:r w:rsidRPr="00117D34">
        <w:rPr>
          <w:rFonts w:ascii="Arial" w:hAnsi="Arial" w:cs="Arial"/>
          <w:color w:val="000000" w:themeColor="text1"/>
          <w:sz w:val="16"/>
          <w:szCs w:val="16"/>
        </w:rPr>
        <w:t>ste</w:t>
      </w:r>
      <w:proofErr w:type="spellEnd"/>
      <w:r w:rsidRPr="00117D34">
        <w:rPr>
          <w:rFonts w:ascii="Arial" w:hAnsi="Arial" w:cs="Arial"/>
          <w:color w:val="000000" w:themeColor="text1"/>
          <w:sz w:val="16"/>
          <w:szCs w:val="16"/>
        </w:rPr>
        <w:t xml:space="preserve"> indicador mide la proporción de activos de </w:t>
      </w:r>
      <w:proofErr w:type="spellStart"/>
      <w:r w:rsidRPr="00117D34">
        <w:rPr>
          <w:rFonts w:ascii="Arial" w:hAnsi="Arial" w:cs="Arial"/>
          <w:color w:val="000000" w:themeColor="text1"/>
          <w:sz w:val="16"/>
          <w:szCs w:val="16"/>
        </w:rPr>
        <w:t>pimera</w:t>
      </w:r>
      <w:proofErr w:type="spellEnd"/>
      <w:r w:rsidRPr="00117D34">
        <w:rPr>
          <w:rFonts w:ascii="Arial" w:hAnsi="Arial" w:cs="Arial"/>
          <w:color w:val="000000" w:themeColor="text1"/>
          <w:sz w:val="16"/>
          <w:szCs w:val="16"/>
        </w:rPr>
        <w:t xml:space="preserve"> línea frente a los activos totales. A nivel internacional debería excluir los fondos interbancarios vendidos y comprados y los depósitos entre instituciones financieras.</w:t>
      </w:r>
    </w:p>
  </w:footnote>
  <w:footnote w:id="3">
    <w:p w:rsidR="00C80CBE" w:rsidRPr="00C80CBE" w:rsidRDefault="00C80CBE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 w:rsidRPr="00FF4473">
        <w:rPr>
          <w:rFonts w:ascii="Arial" w:hAnsi="Arial" w:cs="Arial"/>
          <w:sz w:val="16"/>
          <w:szCs w:val="16"/>
        </w:rPr>
        <w:t>A nivel nacional (Instituciones financieras bajo el control de la Superintendencia de Bancos).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CB8" w:rsidRDefault="00965CB8" w:rsidP="00C761BA">
    <w:pPr>
      <w:pStyle w:val="Encabezado"/>
      <w:tabs>
        <w:tab w:val="clear" w:pos="8838"/>
        <w:tab w:val="right" w:pos="10632"/>
      </w:tabs>
      <w:ind w:left="-1701" w:right="-165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FC1"/>
    <w:multiLevelType w:val="hybridMultilevel"/>
    <w:tmpl w:val="98CE7E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4268C"/>
    <w:multiLevelType w:val="hybridMultilevel"/>
    <w:tmpl w:val="EF0EAF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847E6"/>
    <w:multiLevelType w:val="hybridMultilevel"/>
    <w:tmpl w:val="11C069A4"/>
    <w:lvl w:ilvl="0" w:tplc="300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B729D"/>
    <w:multiLevelType w:val="hybridMultilevel"/>
    <w:tmpl w:val="844278C2"/>
    <w:lvl w:ilvl="0" w:tplc="300A0019">
      <w:start w:val="1"/>
      <w:numFmt w:val="lowerLetter"/>
      <w:lvlText w:val="%1."/>
      <w:lvlJc w:val="left"/>
      <w:pPr>
        <w:ind w:left="1068" w:hanging="360"/>
      </w:pPr>
    </w:lvl>
    <w:lvl w:ilvl="1" w:tplc="300A0019" w:tentative="1">
      <w:start w:val="1"/>
      <w:numFmt w:val="lowerLetter"/>
      <w:lvlText w:val="%2."/>
      <w:lvlJc w:val="left"/>
      <w:pPr>
        <w:ind w:left="1788" w:hanging="360"/>
      </w:pPr>
    </w:lvl>
    <w:lvl w:ilvl="2" w:tplc="300A001B" w:tentative="1">
      <w:start w:val="1"/>
      <w:numFmt w:val="lowerRoman"/>
      <w:lvlText w:val="%3."/>
      <w:lvlJc w:val="right"/>
      <w:pPr>
        <w:ind w:left="2508" w:hanging="180"/>
      </w:pPr>
    </w:lvl>
    <w:lvl w:ilvl="3" w:tplc="300A000F" w:tentative="1">
      <w:start w:val="1"/>
      <w:numFmt w:val="decimal"/>
      <w:lvlText w:val="%4."/>
      <w:lvlJc w:val="left"/>
      <w:pPr>
        <w:ind w:left="3228" w:hanging="360"/>
      </w:pPr>
    </w:lvl>
    <w:lvl w:ilvl="4" w:tplc="300A0019" w:tentative="1">
      <w:start w:val="1"/>
      <w:numFmt w:val="lowerLetter"/>
      <w:lvlText w:val="%5."/>
      <w:lvlJc w:val="left"/>
      <w:pPr>
        <w:ind w:left="3948" w:hanging="360"/>
      </w:pPr>
    </w:lvl>
    <w:lvl w:ilvl="5" w:tplc="300A001B" w:tentative="1">
      <w:start w:val="1"/>
      <w:numFmt w:val="lowerRoman"/>
      <w:lvlText w:val="%6."/>
      <w:lvlJc w:val="right"/>
      <w:pPr>
        <w:ind w:left="4668" w:hanging="180"/>
      </w:pPr>
    </w:lvl>
    <w:lvl w:ilvl="6" w:tplc="300A000F" w:tentative="1">
      <w:start w:val="1"/>
      <w:numFmt w:val="decimal"/>
      <w:lvlText w:val="%7."/>
      <w:lvlJc w:val="left"/>
      <w:pPr>
        <w:ind w:left="5388" w:hanging="360"/>
      </w:pPr>
    </w:lvl>
    <w:lvl w:ilvl="7" w:tplc="300A0019" w:tentative="1">
      <w:start w:val="1"/>
      <w:numFmt w:val="lowerLetter"/>
      <w:lvlText w:val="%8."/>
      <w:lvlJc w:val="left"/>
      <w:pPr>
        <w:ind w:left="6108" w:hanging="360"/>
      </w:pPr>
    </w:lvl>
    <w:lvl w:ilvl="8" w:tplc="3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B80A65"/>
    <w:multiLevelType w:val="hybridMultilevel"/>
    <w:tmpl w:val="7174061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A1955"/>
    <w:multiLevelType w:val="hybridMultilevel"/>
    <w:tmpl w:val="D2662886"/>
    <w:lvl w:ilvl="0" w:tplc="30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95E60"/>
    <w:multiLevelType w:val="hybridMultilevel"/>
    <w:tmpl w:val="CBFC141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E2657"/>
    <w:multiLevelType w:val="hybridMultilevel"/>
    <w:tmpl w:val="F1CA888C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62B7A"/>
    <w:multiLevelType w:val="hybridMultilevel"/>
    <w:tmpl w:val="B126A1B0"/>
    <w:lvl w:ilvl="0" w:tplc="FFC839A4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2B576B"/>
    <w:multiLevelType w:val="hybridMultilevel"/>
    <w:tmpl w:val="E9922EE4"/>
    <w:lvl w:ilvl="0" w:tplc="300A0017">
      <w:start w:val="1"/>
      <w:numFmt w:val="lowerLetter"/>
      <w:lvlText w:val="%1)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157820"/>
    <w:multiLevelType w:val="hybridMultilevel"/>
    <w:tmpl w:val="1DAA524E"/>
    <w:lvl w:ilvl="0" w:tplc="CA546E4E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0A29FA"/>
    <w:multiLevelType w:val="hybridMultilevel"/>
    <w:tmpl w:val="458A14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982EB6"/>
    <w:multiLevelType w:val="hybridMultilevel"/>
    <w:tmpl w:val="7A86CE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E05A8"/>
    <w:multiLevelType w:val="hybridMultilevel"/>
    <w:tmpl w:val="464899F2"/>
    <w:lvl w:ilvl="0" w:tplc="5ABC5AD6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052FE"/>
    <w:multiLevelType w:val="hybridMultilevel"/>
    <w:tmpl w:val="398031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D37B2"/>
    <w:multiLevelType w:val="hybridMultilevel"/>
    <w:tmpl w:val="C0E83C4C"/>
    <w:lvl w:ilvl="0" w:tplc="E050DA46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65621"/>
    <w:multiLevelType w:val="hybridMultilevel"/>
    <w:tmpl w:val="D2662886"/>
    <w:lvl w:ilvl="0" w:tplc="30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D6672"/>
    <w:multiLevelType w:val="hybridMultilevel"/>
    <w:tmpl w:val="7B583D1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6D35C2"/>
    <w:multiLevelType w:val="hybridMultilevel"/>
    <w:tmpl w:val="02D26F56"/>
    <w:lvl w:ilvl="0" w:tplc="300A000F">
      <w:start w:val="1"/>
      <w:numFmt w:val="decimal"/>
      <w:lvlText w:val="%1."/>
      <w:lvlJc w:val="left"/>
      <w:pPr>
        <w:ind w:left="783" w:hanging="360"/>
      </w:pPr>
    </w:lvl>
    <w:lvl w:ilvl="1" w:tplc="300A0019" w:tentative="1">
      <w:start w:val="1"/>
      <w:numFmt w:val="lowerLetter"/>
      <w:lvlText w:val="%2."/>
      <w:lvlJc w:val="left"/>
      <w:pPr>
        <w:ind w:left="1503" w:hanging="360"/>
      </w:pPr>
    </w:lvl>
    <w:lvl w:ilvl="2" w:tplc="300A001B" w:tentative="1">
      <w:start w:val="1"/>
      <w:numFmt w:val="lowerRoman"/>
      <w:lvlText w:val="%3."/>
      <w:lvlJc w:val="right"/>
      <w:pPr>
        <w:ind w:left="2223" w:hanging="180"/>
      </w:pPr>
    </w:lvl>
    <w:lvl w:ilvl="3" w:tplc="300A000F" w:tentative="1">
      <w:start w:val="1"/>
      <w:numFmt w:val="decimal"/>
      <w:lvlText w:val="%4."/>
      <w:lvlJc w:val="left"/>
      <w:pPr>
        <w:ind w:left="2943" w:hanging="360"/>
      </w:pPr>
    </w:lvl>
    <w:lvl w:ilvl="4" w:tplc="300A0019" w:tentative="1">
      <w:start w:val="1"/>
      <w:numFmt w:val="lowerLetter"/>
      <w:lvlText w:val="%5."/>
      <w:lvlJc w:val="left"/>
      <w:pPr>
        <w:ind w:left="3663" w:hanging="360"/>
      </w:pPr>
    </w:lvl>
    <w:lvl w:ilvl="5" w:tplc="300A001B" w:tentative="1">
      <w:start w:val="1"/>
      <w:numFmt w:val="lowerRoman"/>
      <w:lvlText w:val="%6."/>
      <w:lvlJc w:val="right"/>
      <w:pPr>
        <w:ind w:left="4383" w:hanging="180"/>
      </w:pPr>
    </w:lvl>
    <w:lvl w:ilvl="6" w:tplc="300A000F" w:tentative="1">
      <w:start w:val="1"/>
      <w:numFmt w:val="decimal"/>
      <w:lvlText w:val="%7."/>
      <w:lvlJc w:val="left"/>
      <w:pPr>
        <w:ind w:left="5103" w:hanging="360"/>
      </w:pPr>
    </w:lvl>
    <w:lvl w:ilvl="7" w:tplc="300A0019" w:tentative="1">
      <w:start w:val="1"/>
      <w:numFmt w:val="lowerLetter"/>
      <w:lvlText w:val="%8."/>
      <w:lvlJc w:val="left"/>
      <w:pPr>
        <w:ind w:left="5823" w:hanging="360"/>
      </w:pPr>
    </w:lvl>
    <w:lvl w:ilvl="8" w:tplc="300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>
    <w:nsid w:val="3B574215"/>
    <w:multiLevelType w:val="hybridMultilevel"/>
    <w:tmpl w:val="3F1C87D6"/>
    <w:lvl w:ilvl="0" w:tplc="347A9B52">
      <w:start w:val="3"/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D82C41"/>
    <w:multiLevelType w:val="hybridMultilevel"/>
    <w:tmpl w:val="DE9EEC3C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81292C"/>
    <w:multiLevelType w:val="hybridMultilevel"/>
    <w:tmpl w:val="6D74588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34D49"/>
    <w:multiLevelType w:val="hybridMultilevel"/>
    <w:tmpl w:val="F1CA888C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ED4714"/>
    <w:multiLevelType w:val="hybridMultilevel"/>
    <w:tmpl w:val="B8E4B5D4"/>
    <w:lvl w:ilvl="0" w:tplc="300A0017">
      <w:start w:val="1"/>
      <w:numFmt w:val="lowerLetter"/>
      <w:lvlText w:val="%1)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43047BB"/>
    <w:multiLevelType w:val="hybridMultilevel"/>
    <w:tmpl w:val="3508E4DA"/>
    <w:lvl w:ilvl="0" w:tplc="AD26283C">
      <w:start w:val="1"/>
      <w:numFmt w:val="lowerLetter"/>
      <w:lvlText w:val="%1)"/>
      <w:lvlJc w:val="left"/>
      <w:pPr>
        <w:ind w:left="1080" w:hanging="360"/>
      </w:pPr>
      <w:rPr>
        <w:b/>
        <w:color w:val="1F497D"/>
      </w:rPr>
    </w:lvl>
    <w:lvl w:ilvl="1" w:tplc="300A0013">
      <w:start w:val="1"/>
      <w:numFmt w:val="upperRoman"/>
      <w:lvlText w:val="%2."/>
      <w:lvlJc w:val="right"/>
      <w:pPr>
        <w:ind w:left="1800" w:hanging="360"/>
      </w:pPr>
    </w:lvl>
    <w:lvl w:ilvl="2" w:tplc="0C0A0019">
      <w:start w:val="1"/>
      <w:numFmt w:val="lowerLetter"/>
      <w:lvlText w:val="%3."/>
      <w:lvlJc w:val="lef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6E77C2"/>
    <w:multiLevelType w:val="hybridMultilevel"/>
    <w:tmpl w:val="3CBEC5E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9A0C2A"/>
    <w:multiLevelType w:val="hybridMultilevel"/>
    <w:tmpl w:val="7174061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364BD2"/>
    <w:multiLevelType w:val="hybridMultilevel"/>
    <w:tmpl w:val="ED267B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0A140A"/>
    <w:multiLevelType w:val="hybridMultilevel"/>
    <w:tmpl w:val="DB38A18A"/>
    <w:lvl w:ilvl="0" w:tplc="3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C260AB"/>
    <w:multiLevelType w:val="hybridMultilevel"/>
    <w:tmpl w:val="7174061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E074A8"/>
    <w:multiLevelType w:val="hybridMultilevel"/>
    <w:tmpl w:val="9EA467BE"/>
    <w:lvl w:ilvl="0" w:tplc="B6A21D90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B31B44"/>
    <w:multiLevelType w:val="hybridMultilevel"/>
    <w:tmpl w:val="396EA51A"/>
    <w:lvl w:ilvl="0" w:tplc="11AC4194">
      <w:start w:val="1"/>
      <w:numFmt w:val="lowerLetter"/>
      <w:lvlText w:val="%1)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0454A30"/>
    <w:multiLevelType w:val="hybridMultilevel"/>
    <w:tmpl w:val="B706104C"/>
    <w:lvl w:ilvl="0" w:tplc="300A0017">
      <w:start w:val="1"/>
      <w:numFmt w:val="lowerLetter"/>
      <w:lvlText w:val="%1)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84822CC"/>
    <w:multiLevelType w:val="hybridMultilevel"/>
    <w:tmpl w:val="396EA51A"/>
    <w:lvl w:ilvl="0" w:tplc="11AC4194">
      <w:start w:val="1"/>
      <w:numFmt w:val="lowerLetter"/>
      <w:lvlText w:val="%1)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A3F1A6E"/>
    <w:multiLevelType w:val="hybridMultilevel"/>
    <w:tmpl w:val="B6905F14"/>
    <w:lvl w:ilvl="0" w:tplc="1AC45484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24"/>
  </w:num>
  <w:num w:numId="3">
    <w:abstractNumId w:val="34"/>
  </w:num>
  <w:num w:numId="4">
    <w:abstractNumId w:val="24"/>
  </w:num>
  <w:num w:numId="5">
    <w:abstractNumId w:val="25"/>
  </w:num>
  <w:num w:numId="6">
    <w:abstractNumId w:val="30"/>
  </w:num>
  <w:num w:numId="7">
    <w:abstractNumId w:val="13"/>
  </w:num>
  <w:num w:numId="8">
    <w:abstractNumId w:val="14"/>
  </w:num>
  <w:num w:numId="9">
    <w:abstractNumId w:val="18"/>
  </w:num>
  <w:num w:numId="10">
    <w:abstractNumId w:val="0"/>
  </w:num>
  <w:num w:numId="11">
    <w:abstractNumId w:val="27"/>
  </w:num>
  <w:num w:numId="12">
    <w:abstractNumId w:val="6"/>
  </w:num>
  <w:num w:numId="13">
    <w:abstractNumId w:val="3"/>
  </w:num>
  <w:num w:numId="14">
    <w:abstractNumId w:val="21"/>
  </w:num>
  <w:num w:numId="15">
    <w:abstractNumId w:val="28"/>
  </w:num>
  <w:num w:numId="16">
    <w:abstractNumId w:val="29"/>
  </w:num>
  <w:num w:numId="17">
    <w:abstractNumId w:val="20"/>
  </w:num>
  <w:num w:numId="18">
    <w:abstractNumId w:val="9"/>
  </w:num>
  <w:num w:numId="19">
    <w:abstractNumId w:val="16"/>
  </w:num>
  <w:num w:numId="20">
    <w:abstractNumId w:val="33"/>
  </w:num>
  <w:num w:numId="21">
    <w:abstractNumId w:val="4"/>
  </w:num>
  <w:num w:numId="22">
    <w:abstractNumId w:val="5"/>
  </w:num>
  <w:num w:numId="23">
    <w:abstractNumId w:val="22"/>
  </w:num>
  <w:num w:numId="24">
    <w:abstractNumId w:val="23"/>
  </w:num>
  <w:num w:numId="25">
    <w:abstractNumId w:val="32"/>
  </w:num>
  <w:num w:numId="26">
    <w:abstractNumId w:val="31"/>
  </w:num>
  <w:num w:numId="27">
    <w:abstractNumId w:val="15"/>
  </w:num>
  <w:num w:numId="28">
    <w:abstractNumId w:val="2"/>
  </w:num>
  <w:num w:numId="29">
    <w:abstractNumId w:val="26"/>
  </w:num>
  <w:num w:numId="30">
    <w:abstractNumId w:val="7"/>
  </w:num>
  <w:num w:numId="31">
    <w:abstractNumId w:val="17"/>
  </w:num>
  <w:num w:numId="32">
    <w:abstractNumId w:val="19"/>
  </w:num>
  <w:num w:numId="33">
    <w:abstractNumId w:val="8"/>
  </w:num>
  <w:num w:numId="34">
    <w:abstractNumId w:val="10"/>
  </w:num>
  <w:num w:numId="35">
    <w:abstractNumId w:val="12"/>
  </w:num>
  <w:num w:numId="36">
    <w:abstractNumId w:val="11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74"/>
    <w:rsid w:val="00002E9C"/>
    <w:rsid w:val="00004233"/>
    <w:rsid w:val="000042E6"/>
    <w:rsid w:val="0000451E"/>
    <w:rsid w:val="00025A34"/>
    <w:rsid w:val="000266D8"/>
    <w:rsid w:val="00026754"/>
    <w:rsid w:val="00026758"/>
    <w:rsid w:val="00030D84"/>
    <w:rsid w:val="000320E4"/>
    <w:rsid w:val="0004075C"/>
    <w:rsid w:val="00041571"/>
    <w:rsid w:val="00041924"/>
    <w:rsid w:val="00046841"/>
    <w:rsid w:val="000469FE"/>
    <w:rsid w:val="0005214C"/>
    <w:rsid w:val="00056185"/>
    <w:rsid w:val="0006030B"/>
    <w:rsid w:val="00060634"/>
    <w:rsid w:val="00064723"/>
    <w:rsid w:val="000752AE"/>
    <w:rsid w:val="00083763"/>
    <w:rsid w:val="0008444D"/>
    <w:rsid w:val="00087B2C"/>
    <w:rsid w:val="00090B56"/>
    <w:rsid w:val="0009106B"/>
    <w:rsid w:val="00091854"/>
    <w:rsid w:val="00093CF7"/>
    <w:rsid w:val="000A213D"/>
    <w:rsid w:val="000A78F9"/>
    <w:rsid w:val="000B3377"/>
    <w:rsid w:val="000B3A38"/>
    <w:rsid w:val="000B3E87"/>
    <w:rsid w:val="000D70FC"/>
    <w:rsid w:val="000F61BE"/>
    <w:rsid w:val="00110501"/>
    <w:rsid w:val="0011224F"/>
    <w:rsid w:val="001122E5"/>
    <w:rsid w:val="001128DB"/>
    <w:rsid w:val="00116777"/>
    <w:rsid w:val="00117D34"/>
    <w:rsid w:val="00122018"/>
    <w:rsid w:val="00125ACA"/>
    <w:rsid w:val="00127CF4"/>
    <w:rsid w:val="00142C2A"/>
    <w:rsid w:val="0016157E"/>
    <w:rsid w:val="00166FB1"/>
    <w:rsid w:val="00173061"/>
    <w:rsid w:val="00197BA5"/>
    <w:rsid w:val="001A38FB"/>
    <w:rsid w:val="001B53D0"/>
    <w:rsid w:val="001C02DB"/>
    <w:rsid w:val="001F3F7A"/>
    <w:rsid w:val="00203D55"/>
    <w:rsid w:val="00220C1D"/>
    <w:rsid w:val="00224EC3"/>
    <w:rsid w:val="00231388"/>
    <w:rsid w:val="002327B9"/>
    <w:rsid w:val="002353A9"/>
    <w:rsid w:val="00245AC4"/>
    <w:rsid w:val="0025044C"/>
    <w:rsid w:val="00250DCD"/>
    <w:rsid w:val="00254D02"/>
    <w:rsid w:val="00263590"/>
    <w:rsid w:val="0026798D"/>
    <w:rsid w:val="002731DC"/>
    <w:rsid w:val="0028114C"/>
    <w:rsid w:val="00284EE6"/>
    <w:rsid w:val="002915D4"/>
    <w:rsid w:val="0029263E"/>
    <w:rsid w:val="00295EB0"/>
    <w:rsid w:val="002A22DC"/>
    <w:rsid w:val="002A3FDB"/>
    <w:rsid w:val="002A4C34"/>
    <w:rsid w:val="002A5CEF"/>
    <w:rsid w:val="002A7799"/>
    <w:rsid w:val="002C09BB"/>
    <w:rsid w:val="002D24B0"/>
    <w:rsid w:val="002D30BE"/>
    <w:rsid w:val="002D48C0"/>
    <w:rsid w:val="002E2191"/>
    <w:rsid w:val="002E61D6"/>
    <w:rsid w:val="002F1468"/>
    <w:rsid w:val="002F551C"/>
    <w:rsid w:val="00304F9F"/>
    <w:rsid w:val="003051B7"/>
    <w:rsid w:val="003152F2"/>
    <w:rsid w:val="00324F83"/>
    <w:rsid w:val="00333459"/>
    <w:rsid w:val="00344509"/>
    <w:rsid w:val="003450DE"/>
    <w:rsid w:val="003527C4"/>
    <w:rsid w:val="0037256F"/>
    <w:rsid w:val="00382368"/>
    <w:rsid w:val="0038632D"/>
    <w:rsid w:val="003A12C8"/>
    <w:rsid w:val="003A2829"/>
    <w:rsid w:val="003A2923"/>
    <w:rsid w:val="003A4EAB"/>
    <w:rsid w:val="003B4799"/>
    <w:rsid w:val="003D1974"/>
    <w:rsid w:val="003D3571"/>
    <w:rsid w:val="003D3D65"/>
    <w:rsid w:val="003E780D"/>
    <w:rsid w:val="003F274D"/>
    <w:rsid w:val="00444216"/>
    <w:rsid w:val="004561E1"/>
    <w:rsid w:val="00480B23"/>
    <w:rsid w:val="00483C01"/>
    <w:rsid w:val="0048787D"/>
    <w:rsid w:val="004933D5"/>
    <w:rsid w:val="004A0DC0"/>
    <w:rsid w:val="004A6C98"/>
    <w:rsid w:val="004B398D"/>
    <w:rsid w:val="004C1080"/>
    <w:rsid w:val="004E0B76"/>
    <w:rsid w:val="004E4B6E"/>
    <w:rsid w:val="004E7BA5"/>
    <w:rsid w:val="004F3C0A"/>
    <w:rsid w:val="005017DB"/>
    <w:rsid w:val="00505C67"/>
    <w:rsid w:val="00515CFF"/>
    <w:rsid w:val="00517AA7"/>
    <w:rsid w:val="00523E51"/>
    <w:rsid w:val="00537F96"/>
    <w:rsid w:val="005463EE"/>
    <w:rsid w:val="005470EF"/>
    <w:rsid w:val="00550617"/>
    <w:rsid w:val="00552849"/>
    <w:rsid w:val="005567C0"/>
    <w:rsid w:val="00560057"/>
    <w:rsid w:val="005653D1"/>
    <w:rsid w:val="005717FA"/>
    <w:rsid w:val="00590CFE"/>
    <w:rsid w:val="00592B2D"/>
    <w:rsid w:val="0059347C"/>
    <w:rsid w:val="0059618A"/>
    <w:rsid w:val="00597C46"/>
    <w:rsid w:val="005A0B89"/>
    <w:rsid w:val="005A5951"/>
    <w:rsid w:val="005B1574"/>
    <w:rsid w:val="005B2D89"/>
    <w:rsid w:val="005B786D"/>
    <w:rsid w:val="005C0B75"/>
    <w:rsid w:val="005D166F"/>
    <w:rsid w:val="005D58F5"/>
    <w:rsid w:val="005E2DED"/>
    <w:rsid w:val="005F2704"/>
    <w:rsid w:val="005F7408"/>
    <w:rsid w:val="005F7A99"/>
    <w:rsid w:val="0060511C"/>
    <w:rsid w:val="00607CFD"/>
    <w:rsid w:val="00624E21"/>
    <w:rsid w:val="006271DD"/>
    <w:rsid w:val="00631C88"/>
    <w:rsid w:val="006320B4"/>
    <w:rsid w:val="00634E1D"/>
    <w:rsid w:val="00644531"/>
    <w:rsid w:val="00646FE4"/>
    <w:rsid w:val="006673DD"/>
    <w:rsid w:val="006729CA"/>
    <w:rsid w:val="00686F1A"/>
    <w:rsid w:val="00691EC6"/>
    <w:rsid w:val="006A12A8"/>
    <w:rsid w:val="006A6ECC"/>
    <w:rsid w:val="006B0B4B"/>
    <w:rsid w:val="006B211F"/>
    <w:rsid w:val="006B4999"/>
    <w:rsid w:val="006B5474"/>
    <w:rsid w:val="006B6641"/>
    <w:rsid w:val="006B6763"/>
    <w:rsid w:val="006D0AD2"/>
    <w:rsid w:val="006D5AA0"/>
    <w:rsid w:val="006D7B53"/>
    <w:rsid w:val="006E0FDE"/>
    <w:rsid w:val="006E1BD0"/>
    <w:rsid w:val="006E5ADF"/>
    <w:rsid w:val="006E7E1C"/>
    <w:rsid w:val="006F6534"/>
    <w:rsid w:val="006F7FE0"/>
    <w:rsid w:val="007235A9"/>
    <w:rsid w:val="0073410E"/>
    <w:rsid w:val="00746EBD"/>
    <w:rsid w:val="00750691"/>
    <w:rsid w:val="00751922"/>
    <w:rsid w:val="00752347"/>
    <w:rsid w:val="007560C0"/>
    <w:rsid w:val="00762F37"/>
    <w:rsid w:val="007631C0"/>
    <w:rsid w:val="0077080C"/>
    <w:rsid w:val="007743EB"/>
    <w:rsid w:val="00780EC7"/>
    <w:rsid w:val="0078116A"/>
    <w:rsid w:val="00781308"/>
    <w:rsid w:val="00781F6E"/>
    <w:rsid w:val="007A5D2F"/>
    <w:rsid w:val="007A724B"/>
    <w:rsid w:val="007A7855"/>
    <w:rsid w:val="007A78E9"/>
    <w:rsid w:val="007B24C0"/>
    <w:rsid w:val="007B51E8"/>
    <w:rsid w:val="007C04C5"/>
    <w:rsid w:val="007C5558"/>
    <w:rsid w:val="007D38F8"/>
    <w:rsid w:val="007D4BA7"/>
    <w:rsid w:val="007E21D1"/>
    <w:rsid w:val="007E7989"/>
    <w:rsid w:val="007F2957"/>
    <w:rsid w:val="0080012F"/>
    <w:rsid w:val="00813B15"/>
    <w:rsid w:val="00817D42"/>
    <w:rsid w:val="00822125"/>
    <w:rsid w:val="008238FF"/>
    <w:rsid w:val="00826954"/>
    <w:rsid w:val="008458EB"/>
    <w:rsid w:val="00846EC4"/>
    <w:rsid w:val="00850AA6"/>
    <w:rsid w:val="00856038"/>
    <w:rsid w:val="00856888"/>
    <w:rsid w:val="00862497"/>
    <w:rsid w:val="00862E77"/>
    <w:rsid w:val="00870E99"/>
    <w:rsid w:val="00872C3A"/>
    <w:rsid w:val="008765E5"/>
    <w:rsid w:val="008824CA"/>
    <w:rsid w:val="008869E4"/>
    <w:rsid w:val="00892B95"/>
    <w:rsid w:val="008A0722"/>
    <w:rsid w:val="008A75F3"/>
    <w:rsid w:val="008C59EF"/>
    <w:rsid w:val="008D1A0B"/>
    <w:rsid w:val="008E1699"/>
    <w:rsid w:val="008E78CB"/>
    <w:rsid w:val="008F530F"/>
    <w:rsid w:val="008F5C76"/>
    <w:rsid w:val="00901344"/>
    <w:rsid w:val="00906041"/>
    <w:rsid w:val="00912BCA"/>
    <w:rsid w:val="00925908"/>
    <w:rsid w:val="0092764D"/>
    <w:rsid w:val="0093505D"/>
    <w:rsid w:val="009365AA"/>
    <w:rsid w:val="00957D5E"/>
    <w:rsid w:val="00961A34"/>
    <w:rsid w:val="00965159"/>
    <w:rsid w:val="00965CB8"/>
    <w:rsid w:val="00967A9A"/>
    <w:rsid w:val="00983A19"/>
    <w:rsid w:val="00986589"/>
    <w:rsid w:val="00987563"/>
    <w:rsid w:val="009A0814"/>
    <w:rsid w:val="009A39CE"/>
    <w:rsid w:val="009A75BD"/>
    <w:rsid w:val="009B1DB6"/>
    <w:rsid w:val="009C1C74"/>
    <w:rsid w:val="009E1AFD"/>
    <w:rsid w:val="009E3508"/>
    <w:rsid w:val="009E4EB9"/>
    <w:rsid w:val="00A12C20"/>
    <w:rsid w:val="00A1663D"/>
    <w:rsid w:val="00A24CDC"/>
    <w:rsid w:val="00A5438F"/>
    <w:rsid w:val="00A54931"/>
    <w:rsid w:val="00A56008"/>
    <w:rsid w:val="00A56648"/>
    <w:rsid w:val="00A61187"/>
    <w:rsid w:val="00A61982"/>
    <w:rsid w:val="00A62566"/>
    <w:rsid w:val="00A64F29"/>
    <w:rsid w:val="00A65D23"/>
    <w:rsid w:val="00A716E4"/>
    <w:rsid w:val="00A81E5D"/>
    <w:rsid w:val="00A862FC"/>
    <w:rsid w:val="00A91115"/>
    <w:rsid w:val="00A9227C"/>
    <w:rsid w:val="00AA34B2"/>
    <w:rsid w:val="00AA6532"/>
    <w:rsid w:val="00AC0087"/>
    <w:rsid w:val="00AD2CC0"/>
    <w:rsid w:val="00AD5934"/>
    <w:rsid w:val="00AD6399"/>
    <w:rsid w:val="00AE2169"/>
    <w:rsid w:val="00AF2A08"/>
    <w:rsid w:val="00AF5FCB"/>
    <w:rsid w:val="00B01729"/>
    <w:rsid w:val="00B0221D"/>
    <w:rsid w:val="00B14B90"/>
    <w:rsid w:val="00B174D2"/>
    <w:rsid w:val="00B20D94"/>
    <w:rsid w:val="00B23BCF"/>
    <w:rsid w:val="00B26283"/>
    <w:rsid w:val="00B267A0"/>
    <w:rsid w:val="00B273FC"/>
    <w:rsid w:val="00B3041F"/>
    <w:rsid w:val="00B306E9"/>
    <w:rsid w:val="00B3511E"/>
    <w:rsid w:val="00B41863"/>
    <w:rsid w:val="00B46A9F"/>
    <w:rsid w:val="00B477DA"/>
    <w:rsid w:val="00B54662"/>
    <w:rsid w:val="00B608DE"/>
    <w:rsid w:val="00B7047F"/>
    <w:rsid w:val="00B71724"/>
    <w:rsid w:val="00B726A4"/>
    <w:rsid w:val="00B7375E"/>
    <w:rsid w:val="00B77C8F"/>
    <w:rsid w:val="00BA0AD0"/>
    <w:rsid w:val="00BA301E"/>
    <w:rsid w:val="00BA47D6"/>
    <w:rsid w:val="00BA6FAD"/>
    <w:rsid w:val="00BA7ED7"/>
    <w:rsid w:val="00BB5CFE"/>
    <w:rsid w:val="00BC0BA7"/>
    <w:rsid w:val="00BD546A"/>
    <w:rsid w:val="00BD5B98"/>
    <w:rsid w:val="00BD651A"/>
    <w:rsid w:val="00BE3CBA"/>
    <w:rsid w:val="00BF276D"/>
    <w:rsid w:val="00BF3A3A"/>
    <w:rsid w:val="00BF6BB6"/>
    <w:rsid w:val="00C020D0"/>
    <w:rsid w:val="00C022E1"/>
    <w:rsid w:val="00C02BA7"/>
    <w:rsid w:val="00C10246"/>
    <w:rsid w:val="00C1359A"/>
    <w:rsid w:val="00C1411A"/>
    <w:rsid w:val="00C16F8F"/>
    <w:rsid w:val="00C22AF9"/>
    <w:rsid w:val="00C26D32"/>
    <w:rsid w:val="00C4141E"/>
    <w:rsid w:val="00C44C5E"/>
    <w:rsid w:val="00C50F24"/>
    <w:rsid w:val="00C515A6"/>
    <w:rsid w:val="00C616E7"/>
    <w:rsid w:val="00C6278B"/>
    <w:rsid w:val="00C6349C"/>
    <w:rsid w:val="00C72148"/>
    <w:rsid w:val="00C761BA"/>
    <w:rsid w:val="00C80CBE"/>
    <w:rsid w:val="00C82F32"/>
    <w:rsid w:val="00C8339B"/>
    <w:rsid w:val="00C8455D"/>
    <w:rsid w:val="00C91441"/>
    <w:rsid w:val="00C92FB7"/>
    <w:rsid w:val="00C933C6"/>
    <w:rsid w:val="00CB23C2"/>
    <w:rsid w:val="00CB28F7"/>
    <w:rsid w:val="00CD3B2E"/>
    <w:rsid w:val="00CD6ED1"/>
    <w:rsid w:val="00CE1CF1"/>
    <w:rsid w:val="00CF16E0"/>
    <w:rsid w:val="00D03A69"/>
    <w:rsid w:val="00D055E1"/>
    <w:rsid w:val="00D1104E"/>
    <w:rsid w:val="00D13BC6"/>
    <w:rsid w:val="00D20615"/>
    <w:rsid w:val="00D212F2"/>
    <w:rsid w:val="00D26122"/>
    <w:rsid w:val="00D26863"/>
    <w:rsid w:val="00D352FC"/>
    <w:rsid w:val="00D37488"/>
    <w:rsid w:val="00D4150C"/>
    <w:rsid w:val="00D42832"/>
    <w:rsid w:val="00D42AC8"/>
    <w:rsid w:val="00D533E6"/>
    <w:rsid w:val="00D60645"/>
    <w:rsid w:val="00D607ED"/>
    <w:rsid w:val="00D732F6"/>
    <w:rsid w:val="00D8720F"/>
    <w:rsid w:val="00D92F43"/>
    <w:rsid w:val="00D93674"/>
    <w:rsid w:val="00D968BE"/>
    <w:rsid w:val="00DB0D46"/>
    <w:rsid w:val="00DB7DC1"/>
    <w:rsid w:val="00DE2AFA"/>
    <w:rsid w:val="00DE4F95"/>
    <w:rsid w:val="00E00319"/>
    <w:rsid w:val="00E07C03"/>
    <w:rsid w:val="00E43E02"/>
    <w:rsid w:val="00E55150"/>
    <w:rsid w:val="00E600FE"/>
    <w:rsid w:val="00E61D26"/>
    <w:rsid w:val="00E63A8C"/>
    <w:rsid w:val="00E71017"/>
    <w:rsid w:val="00E747D0"/>
    <w:rsid w:val="00E7578D"/>
    <w:rsid w:val="00E93E59"/>
    <w:rsid w:val="00EB6C06"/>
    <w:rsid w:val="00ED68F0"/>
    <w:rsid w:val="00EF1BD0"/>
    <w:rsid w:val="00EF4198"/>
    <w:rsid w:val="00F02C27"/>
    <w:rsid w:val="00F07F77"/>
    <w:rsid w:val="00F1530A"/>
    <w:rsid w:val="00F16BE0"/>
    <w:rsid w:val="00F225D2"/>
    <w:rsid w:val="00F22CF3"/>
    <w:rsid w:val="00F23AF0"/>
    <w:rsid w:val="00F24CA7"/>
    <w:rsid w:val="00F30EE6"/>
    <w:rsid w:val="00F35C67"/>
    <w:rsid w:val="00F4662C"/>
    <w:rsid w:val="00F54021"/>
    <w:rsid w:val="00F55FD0"/>
    <w:rsid w:val="00F60011"/>
    <w:rsid w:val="00F60D80"/>
    <w:rsid w:val="00F71E24"/>
    <w:rsid w:val="00F74C87"/>
    <w:rsid w:val="00F95298"/>
    <w:rsid w:val="00F954D1"/>
    <w:rsid w:val="00FA4389"/>
    <w:rsid w:val="00FA6FD4"/>
    <w:rsid w:val="00FB3C61"/>
    <w:rsid w:val="00FC0550"/>
    <w:rsid w:val="00FC11B5"/>
    <w:rsid w:val="00FD5B09"/>
    <w:rsid w:val="00FE1326"/>
    <w:rsid w:val="00FE4E31"/>
    <w:rsid w:val="00FF208D"/>
    <w:rsid w:val="00FF37A5"/>
    <w:rsid w:val="00FF4862"/>
    <w:rsid w:val="00FF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AFD"/>
    <w:pPr>
      <w:spacing w:after="200" w:line="276" w:lineRule="auto"/>
    </w:pPr>
    <w:rPr>
      <w:sz w:val="22"/>
      <w:szCs w:val="22"/>
    </w:rPr>
  </w:style>
  <w:style w:type="paragraph" w:styleId="Ttulo1">
    <w:name w:val="heading 1"/>
    <w:aliases w:val="titulo 1"/>
    <w:basedOn w:val="Normal"/>
    <w:next w:val="Normal"/>
    <w:link w:val="Ttulo1Car"/>
    <w:autoRedefine/>
    <w:uiPriority w:val="9"/>
    <w:qFormat/>
    <w:rsid w:val="00CD3B2E"/>
    <w:pPr>
      <w:keepNext/>
      <w:keepLines/>
      <w:spacing w:before="480" w:after="0"/>
      <w:outlineLvl w:val="0"/>
    </w:pPr>
    <w:rPr>
      <w:rFonts w:eastAsia="Times New Roman" w:cs="Calibri"/>
      <w:b/>
      <w:bCs/>
      <w:color w:val="365F9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E1AF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E1AF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E1AF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9E1AF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ar"/>
    <w:link w:val="Ttulo1"/>
    <w:uiPriority w:val="9"/>
    <w:rsid w:val="00CD3B2E"/>
    <w:rPr>
      <w:rFonts w:eastAsia="Times New Roman" w:cs="Calibri"/>
      <w:b/>
      <w:bCs/>
      <w:color w:val="365F91"/>
      <w:lang w:eastAsia="es-EC"/>
    </w:rPr>
  </w:style>
  <w:style w:type="paragraph" w:customStyle="1" w:styleId="MickeyDazTtulo">
    <w:name w:val="Mickey Dïaz Título"/>
    <w:basedOn w:val="Prrafodelista"/>
    <w:link w:val="MickeyDazTtuloCar"/>
    <w:qFormat/>
    <w:rsid w:val="009E1AFD"/>
    <w:pPr>
      <w:spacing w:after="0" w:line="240" w:lineRule="auto"/>
      <w:ind w:left="360" w:hanging="360"/>
    </w:pPr>
    <w:rPr>
      <w:rFonts w:eastAsia="Times New Roman"/>
      <w:color w:val="1F497D"/>
      <w:sz w:val="24"/>
      <w:lang w:val="es-ES" w:eastAsia="es-ES"/>
    </w:rPr>
  </w:style>
  <w:style w:type="character" w:customStyle="1" w:styleId="MickeyDazTtuloCar">
    <w:name w:val="Mickey Dïaz Título Car"/>
    <w:link w:val="MickeyDazTtulo"/>
    <w:rsid w:val="009E1AFD"/>
    <w:rPr>
      <w:rFonts w:ascii="Calibri" w:eastAsia="Times New Roman" w:hAnsi="Calibri" w:cs="Times New Roman"/>
      <w:color w:val="1F497D"/>
      <w:sz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9E1AFD"/>
    <w:pPr>
      <w:ind w:left="720"/>
      <w:contextualSpacing/>
    </w:pPr>
  </w:style>
  <w:style w:type="paragraph" w:customStyle="1" w:styleId="MickeyDaz-Subttulo">
    <w:name w:val="Mickey Díaz - Subtítulo"/>
    <w:basedOn w:val="Prrafodelista"/>
    <w:link w:val="MickeyDaz-SubttuloCar"/>
    <w:qFormat/>
    <w:rsid w:val="009E1AFD"/>
    <w:pPr>
      <w:spacing w:after="0" w:line="240" w:lineRule="auto"/>
      <w:ind w:left="1080" w:hanging="360"/>
      <w:jc w:val="both"/>
    </w:pPr>
    <w:rPr>
      <w:rFonts w:eastAsia="Times New Roman"/>
      <w:b/>
      <w:color w:val="1F497D"/>
      <w:lang w:val="es-ES" w:eastAsia="es-ES"/>
    </w:rPr>
  </w:style>
  <w:style w:type="character" w:customStyle="1" w:styleId="MickeyDaz-SubttuloCar">
    <w:name w:val="Mickey Díaz - Subtítulo Car"/>
    <w:link w:val="MickeyDaz-Subttulo"/>
    <w:rsid w:val="009E1AFD"/>
    <w:rPr>
      <w:rFonts w:ascii="Calibri" w:eastAsia="Times New Roman" w:hAnsi="Calibri" w:cs="Times New Roman"/>
      <w:b/>
      <w:color w:val="1F497D"/>
      <w:lang w:val="es-ES" w:eastAsia="es-ES"/>
    </w:rPr>
  </w:style>
  <w:style w:type="character" w:customStyle="1" w:styleId="Ttulo2Car">
    <w:name w:val="Título 2 Car"/>
    <w:link w:val="Ttulo2"/>
    <w:uiPriority w:val="9"/>
    <w:rsid w:val="009E1AFD"/>
    <w:rPr>
      <w:rFonts w:ascii="Cambria" w:eastAsia="Times New Roman" w:hAnsi="Cambria" w:cs="Times New Roman"/>
      <w:b/>
      <w:bCs/>
      <w:color w:val="4F81BD"/>
      <w:sz w:val="26"/>
      <w:szCs w:val="26"/>
      <w:lang w:eastAsia="es-EC"/>
    </w:rPr>
  </w:style>
  <w:style w:type="character" w:customStyle="1" w:styleId="Ttulo3Car">
    <w:name w:val="Título 3 Car"/>
    <w:link w:val="Ttulo3"/>
    <w:uiPriority w:val="9"/>
    <w:rsid w:val="009E1AFD"/>
    <w:rPr>
      <w:rFonts w:ascii="Cambria" w:eastAsia="Times New Roman" w:hAnsi="Cambria" w:cs="Times New Roman"/>
      <w:b/>
      <w:bCs/>
      <w:color w:val="4F81BD"/>
      <w:lang w:eastAsia="es-EC"/>
    </w:rPr>
  </w:style>
  <w:style w:type="character" w:customStyle="1" w:styleId="Ttulo4Car">
    <w:name w:val="Título 4 Car"/>
    <w:link w:val="Ttulo4"/>
    <w:uiPriority w:val="9"/>
    <w:rsid w:val="009E1AFD"/>
    <w:rPr>
      <w:rFonts w:ascii="Cambria" w:eastAsia="Times New Roman" w:hAnsi="Cambria" w:cs="Times New Roman"/>
      <w:b/>
      <w:bCs/>
      <w:i/>
      <w:iCs/>
      <w:color w:val="4F81BD"/>
      <w:lang w:eastAsia="es-EC"/>
    </w:rPr>
  </w:style>
  <w:style w:type="character" w:customStyle="1" w:styleId="Ttulo5Car">
    <w:name w:val="Título 5 Car"/>
    <w:link w:val="Ttulo5"/>
    <w:uiPriority w:val="9"/>
    <w:rsid w:val="009E1AFD"/>
    <w:rPr>
      <w:rFonts w:ascii="Cambria" w:eastAsia="Times New Roman" w:hAnsi="Cambria" w:cs="Times New Roman"/>
      <w:color w:val="243F60"/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9E1AFD"/>
    <w:pPr>
      <w:spacing w:after="100"/>
    </w:pPr>
    <w:rPr>
      <w:rFonts w:eastAsia="Times New Roman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AFD"/>
    <w:pPr>
      <w:spacing w:after="100"/>
      <w:ind w:left="220"/>
    </w:pPr>
    <w:rPr>
      <w:rFonts w:eastAsia="Times New Roman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9E1AFD"/>
    <w:pPr>
      <w:spacing w:after="100"/>
      <w:ind w:left="440"/>
    </w:pPr>
    <w:rPr>
      <w:rFonts w:eastAsia="Times New Roman"/>
    </w:rPr>
  </w:style>
  <w:style w:type="paragraph" w:styleId="Sinespaciado">
    <w:name w:val="No Spacing"/>
    <w:uiPriority w:val="1"/>
    <w:qFormat/>
    <w:rsid w:val="009E1AFD"/>
    <w:rPr>
      <w:rFonts w:eastAsia="Times New Roman"/>
      <w:sz w:val="22"/>
      <w:szCs w:val="22"/>
    </w:rPr>
  </w:style>
  <w:style w:type="character" w:customStyle="1" w:styleId="PrrafodelistaCar">
    <w:name w:val="Párrafo de lista Car"/>
    <w:link w:val="Prrafodelista"/>
    <w:uiPriority w:val="34"/>
    <w:rsid w:val="009E1AFD"/>
    <w:rPr>
      <w:rFonts w:ascii="Calibri" w:hAnsi="Calibri"/>
      <w:lang w:eastAsia="es-EC"/>
    </w:rPr>
  </w:style>
  <w:style w:type="character" w:styleId="nfasisintenso">
    <w:name w:val="Intense Emphasis"/>
    <w:aliases w:val="Mickey Título"/>
    <w:uiPriority w:val="21"/>
    <w:qFormat/>
    <w:rsid w:val="009E1AFD"/>
    <w:rPr>
      <w:b/>
      <w:bCs/>
      <w:i/>
      <w:iCs/>
      <w:color w:val="4F81BD"/>
    </w:rPr>
  </w:style>
  <w:style w:type="paragraph" w:styleId="TtulodeTDC">
    <w:name w:val="TOC Heading"/>
    <w:basedOn w:val="Ttulo1"/>
    <w:next w:val="Normal"/>
    <w:uiPriority w:val="39"/>
    <w:unhideWhenUsed/>
    <w:qFormat/>
    <w:rsid w:val="009E1AFD"/>
    <w:pPr>
      <w:outlineLvl w:val="9"/>
    </w:pPr>
  </w:style>
  <w:style w:type="character" w:customStyle="1" w:styleId="apple-converted-space">
    <w:name w:val="apple-converted-space"/>
    <w:basedOn w:val="Fuentedeprrafopredeter"/>
    <w:rsid w:val="006B211F"/>
  </w:style>
  <w:style w:type="character" w:styleId="nfasis">
    <w:name w:val="Emphasis"/>
    <w:uiPriority w:val="20"/>
    <w:qFormat/>
    <w:rsid w:val="006B211F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2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729CA"/>
    <w:rPr>
      <w:rFonts w:ascii="Tahoma" w:hAnsi="Tahoma" w:cs="Tahoma"/>
      <w:sz w:val="16"/>
      <w:szCs w:val="16"/>
      <w:lang w:eastAsia="es-EC"/>
    </w:rPr>
  </w:style>
  <w:style w:type="paragraph" w:styleId="NormalWeb">
    <w:name w:val="Normal (Web)"/>
    <w:basedOn w:val="Normal"/>
    <w:uiPriority w:val="99"/>
    <w:rsid w:val="00552849"/>
    <w:pPr>
      <w:spacing w:before="100" w:beforeAutospacing="1" w:after="100" w:afterAutospacing="1" w:line="240" w:lineRule="auto"/>
    </w:pPr>
    <w:rPr>
      <w:rFonts w:ascii="Times New Roman" w:eastAsia="Tw Cen MT" w:hAnsi="Times New Roman"/>
      <w:sz w:val="24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552849"/>
    <w:pPr>
      <w:spacing w:after="0" w:line="240" w:lineRule="auto"/>
    </w:pPr>
    <w:rPr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552849"/>
    <w:rPr>
      <w:rFonts w:ascii="Calibri" w:hAnsi="Calibri"/>
      <w:szCs w:val="21"/>
    </w:rPr>
  </w:style>
  <w:style w:type="character" w:styleId="Hipervnculo">
    <w:name w:val="Hyperlink"/>
    <w:uiPriority w:val="99"/>
    <w:unhideWhenUsed/>
    <w:rsid w:val="00030D84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004233"/>
    <w:pPr>
      <w:spacing w:after="0" w:line="240" w:lineRule="auto"/>
    </w:pPr>
    <w:rPr>
      <w:sz w:val="20"/>
      <w:szCs w:val="20"/>
      <w:lang w:eastAsia="en-US"/>
    </w:rPr>
  </w:style>
  <w:style w:type="character" w:customStyle="1" w:styleId="TextonotapieCar">
    <w:name w:val="Texto nota pie Car"/>
    <w:link w:val="Textonotapie"/>
    <w:uiPriority w:val="99"/>
    <w:rsid w:val="00004233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unhideWhenUsed/>
    <w:rsid w:val="00004233"/>
    <w:rPr>
      <w:vertAlign w:val="superscript"/>
    </w:rPr>
  </w:style>
  <w:style w:type="paragraph" w:styleId="Textoindependiente">
    <w:name w:val="Body Text"/>
    <w:basedOn w:val="Normal"/>
    <w:link w:val="TextoindependienteCar"/>
    <w:semiHidden/>
    <w:rsid w:val="00CF16E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es-ES"/>
    </w:rPr>
  </w:style>
  <w:style w:type="character" w:customStyle="1" w:styleId="TextoindependienteCar">
    <w:name w:val="Texto independiente Car"/>
    <w:link w:val="Textoindependiente"/>
    <w:semiHidden/>
    <w:rsid w:val="00CF16E0"/>
    <w:rPr>
      <w:rFonts w:ascii="Times New Roman" w:eastAsia="Times New Roman" w:hAnsi="Times New Roman" w:cs="Times New Roman"/>
      <w:sz w:val="16"/>
      <w:szCs w:val="20"/>
      <w:lang w:eastAsia="es-ES"/>
    </w:rPr>
  </w:style>
  <w:style w:type="paragraph" w:customStyle="1" w:styleId="Default">
    <w:name w:val="Default"/>
    <w:rsid w:val="00CF16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table" w:styleId="Tablaweb3">
    <w:name w:val="Table Web 3"/>
    <w:basedOn w:val="Tablanormal"/>
    <w:rsid w:val="002D24B0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5A0B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rsid w:val="005A0B89"/>
    <w:rPr>
      <w:rFonts w:ascii="Calibri" w:hAnsi="Calibri"/>
      <w:lang w:eastAsia="es-EC"/>
    </w:rPr>
  </w:style>
  <w:style w:type="paragraph" w:styleId="Piedepgina">
    <w:name w:val="footer"/>
    <w:basedOn w:val="Normal"/>
    <w:link w:val="PiedepginaCar"/>
    <w:uiPriority w:val="99"/>
    <w:unhideWhenUsed/>
    <w:rsid w:val="005A0B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rsid w:val="005A0B89"/>
    <w:rPr>
      <w:rFonts w:ascii="Calibri" w:hAnsi="Calibri"/>
      <w:lang w:eastAsia="es-EC"/>
    </w:rPr>
  </w:style>
  <w:style w:type="paragraph" w:customStyle="1" w:styleId="CEC00D05F4354E1094F28D836D46DBBF">
    <w:name w:val="CEC00D05F4354E1094F28D836D46DBBF"/>
    <w:rsid w:val="00C616E7"/>
    <w:pPr>
      <w:spacing w:after="200" w:line="276" w:lineRule="auto"/>
    </w:pPr>
    <w:rPr>
      <w:rFonts w:eastAsia="Times New Roman"/>
      <w:sz w:val="22"/>
      <w:szCs w:val="22"/>
    </w:rPr>
  </w:style>
  <w:style w:type="character" w:customStyle="1" w:styleId="estilo4">
    <w:name w:val="estilo4"/>
    <w:basedOn w:val="Fuentedeprrafopredeter"/>
    <w:rsid w:val="00A64F29"/>
  </w:style>
  <w:style w:type="paragraph" w:styleId="Textocomentario">
    <w:name w:val="annotation text"/>
    <w:basedOn w:val="Normal"/>
    <w:link w:val="TextocomentarioCar"/>
    <w:uiPriority w:val="99"/>
    <w:unhideWhenUsed/>
    <w:rsid w:val="00A64F29"/>
    <w:pPr>
      <w:spacing w:after="0" w:line="240" w:lineRule="auto"/>
    </w:pPr>
    <w:rPr>
      <w:rFonts w:ascii="Times New Roman" w:eastAsia="Batang" w:hAnsi="Times New Roman"/>
      <w:sz w:val="20"/>
      <w:szCs w:val="20"/>
      <w:lang w:val="es-ES" w:eastAsia="ko-KR"/>
    </w:rPr>
  </w:style>
  <w:style w:type="character" w:customStyle="1" w:styleId="TextocomentarioCar">
    <w:name w:val="Texto comentario Car"/>
    <w:link w:val="Textocomentario"/>
    <w:uiPriority w:val="99"/>
    <w:rsid w:val="00A64F29"/>
    <w:rPr>
      <w:rFonts w:ascii="Times New Roman" w:eastAsia="Batang" w:hAnsi="Times New Roman" w:cs="Times New Roman"/>
      <w:sz w:val="20"/>
      <w:szCs w:val="20"/>
      <w:lang w:val="es-ES" w:eastAsia="ko-KR"/>
    </w:rPr>
  </w:style>
  <w:style w:type="character" w:styleId="Refdecomentario">
    <w:name w:val="annotation reference"/>
    <w:uiPriority w:val="99"/>
    <w:semiHidden/>
    <w:unhideWhenUsed/>
    <w:rsid w:val="00224EC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4EC3"/>
    <w:pPr>
      <w:spacing w:after="200"/>
    </w:pPr>
    <w:rPr>
      <w:rFonts w:ascii="Calibri" w:eastAsia="Calibri" w:hAnsi="Calibri"/>
      <w:b/>
      <w:bCs/>
      <w:lang w:val="es-EC" w:eastAsia="es-EC"/>
    </w:rPr>
  </w:style>
  <w:style w:type="character" w:customStyle="1" w:styleId="AsuntodelcomentarioCar">
    <w:name w:val="Asunto del comentario Car"/>
    <w:link w:val="Asuntodelcomentario"/>
    <w:uiPriority w:val="99"/>
    <w:semiHidden/>
    <w:rsid w:val="00224EC3"/>
    <w:rPr>
      <w:rFonts w:ascii="Calibri" w:eastAsia="Batang" w:hAnsi="Calibri" w:cs="Times New Roman"/>
      <w:b/>
      <w:bCs/>
      <w:sz w:val="20"/>
      <w:szCs w:val="20"/>
      <w:lang w:val="es-ES" w:eastAsia="es-EC"/>
    </w:rPr>
  </w:style>
  <w:style w:type="paragraph" w:customStyle="1" w:styleId="default0">
    <w:name w:val="default"/>
    <w:basedOn w:val="Normal"/>
    <w:rsid w:val="00CD3B2E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Textodelmarcadordeposicin">
    <w:name w:val="Placeholder Text"/>
    <w:uiPriority w:val="99"/>
    <w:semiHidden/>
    <w:rsid w:val="006F7FE0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0267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AFD"/>
    <w:pPr>
      <w:spacing w:after="200" w:line="276" w:lineRule="auto"/>
    </w:pPr>
    <w:rPr>
      <w:sz w:val="22"/>
      <w:szCs w:val="22"/>
    </w:rPr>
  </w:style>
  <w:style w:type="paragraph" w:styleId="Ttulo1">
    <w:name w:val="heading 1"/>
    <w:aliases w:val="titulo 1"/>
    <w:basedOn w:val="Normal"/>
    <w:next w:val="Normal"/>
    <w:link w:val="Ttulo1Car"/>
    <w:autoRedefine/>
    <w:uiPriority w:val="9"/>
    <w:qFormat/>
    <w:rsid w:val="00CD3B2E"/>
    <w:pPr>
      <w:keepNext/>
      <w:keepLines/>
      <w:spacing w:before="480" w:after="0"/>
      <w:outlineLvl w:val="0"/>
    </w:pPr>
    <w:rPr>
      <w:rFonts w:eastAsia="Times New Roman" w:cs="Calibri"/>
      <w:b/>
      <w:bCs/>
      <w:color w:val="365F9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E1AF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E1AF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E1AF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9E1AF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ar"/>
    <w:link w:val="Ttulo1"/>
    <w:uiPriority w:val="9"/>
    <w:rsid w:val="00CD3B2E"/>
    <w:rPr>
      <w:rFonts w:eastAsia="Times New Roman" w:cs="Calibri"/>
      <w:b/>
      <w:bCs/>
      <w:color w:val="365F91"/>
      <w:lang w:eastAsia="es-EC"/>
    </w:rPr>
  </w:style>
  <w:style w:type="paragraph" w:customStyle="1" w:styleId="MickeyDazTtulo">
    <w:name w:val="Mickey Dïaz Título"/>
    <w:basedOn w:val="Prrafodelista"/>
    <w:link w:val="MickeyDazTtuloCar"/>
    <w:qFormat/>
    <w:rsid w:val="009E1AFD"/>
    <w:pPr>
      <w:spacing w:after="0" w:line="240" w:lineRule="auto"/>
      <w:ind w:left="360" w:hanging="360"/>
    </w:pPr>
    <w:rPr>
      <w:rFonts w:eastAsia="Times New Roman"/>
      <w:color w:val="1F497D"/>
      <w:sz w:val="24"/>
      <w:lang w:val="es-ES" w:eastAsia="es-ES"/>
    </w:rPr>
  </w:style>
  <w:style w:type="character" w:customStyle="1" w:styleId="MickeyDazTtuloCar">
    <w:name w:val="Mickey Dïaz Título Car"/>
    <w:link w:val="MickeyDazTtulo"/>
    <w:rsid w:val="009E1AFD"/>
    <w:rPr>
      <w:rFonts w:ascii="Calibri" w:eastAsia="Times New Roman" w:hAnsi="Calibri" w:cs="Times New Roman"/>
      <w:color w:val="1F497D"/>
      <w:sz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9E1AFD"/>
    <w:pPr>
      <w:ind w:left="720"/>
      <w:contextualSpacing/>
    </w:pPr>
  </w:style>
  <w:style w:type="paragraph" w:customStyle="1" w:styleId="MickeyDaz-Subttulo">
    <w:name w:val="Mickey Díaz - Subtítulo"/>
    <w:basedOn w:val="Prrafodelista"/>
    <w:link w:val="MickeyDaz-SubttuloCar"/>
    <w:qFormat/>
    <w:rsid w:val="009E1AFD"/>
    <w:pPr>
      <w:spacing w:after="0" w:line="240" w:lineRule="auto"/>
      <w:ind w:left="1080" w:hanging="360"/>
      <w:jc w:val="both"/>
    </w:pPr>
    <w:rPr>
      <w:rFonts w:eastAsia="Times New Roman"/>
      <w:b/>
      <w:color w:val="1F497D"/>
      <w:lang w:val="es-ES" w:eastAsia="es-ES"/>
    </w:rPr>
  </w:style>
  <w:style w:type="character" w:customStyle="1" w:styleId="MickeyDaz-SubttuloCar">
    <w:name w:val="Mickey Díaz - Subtítulo Car"/>
    <w:link w:val="MickeyDaz-Subttulo"/>
    <w:rsid w:val="009E1AFD"/>
    <w:rPr>
      <w:rFonts w:ascii="Calibri" w:eastAsia="Times New Roman" w:hAnsi="Calibri" w:cs="Times New Roman"/>
      <w:b/>
      <w:color w:val="1F497D"/>
      <w:lang w:val="es-ES" w:eastAsia="es-ES"/>
    </w:rPr>
  </w:style>
  <w:style w:type="character" w:customStyle="1" w:styleId="Ttulo2Car">
    <w:name w:val="Título 2 Car"/>
    <w:link w:val="Ttulo2"/>
    <w:uiPriority w:val="9"/>
    <w:rsid w:val="009E1AFD"/>
    <w:rPr>
      <w:rFonts w:ascii="Cambria" w:eastAsia="Times New Roman" w:hAnsi="Cambria" w:cs="Times New Roman"/>
      <w:b/>
      <w:bCs/>
      <w:color w:val="4F81BD"/>
      <w:sz w:val="26"/>
      <w:szCs w:val="26"/>
      <w:lang w:eastAsia="es-EC"/>
    </w:rPr>
  </w:style>
  <w:style w:type="character" w:customStyle="1" w:styleId="Ttulo3Car">
    <w:name w:val="Título 3 Car"/>
    <w:link w:val="Ttulo3"/>
    <w:uiPriority w:val="9"/>
    <w:rsid w:val="009E1AFD"/>
    <w:rPr>
      <w:rFonts w:ascii="Cambria" w:eastAsia="Times New Roman" w:hAnsi="Cambria" w:cs="Times New Roman"/>
      <w:b/>
      <w:bCs/>
      <w:color w:val="4F81BD"/>
      <w:lang w:eastAsia="es-EC"/>
    </w:rPr>
  </w:style>
  <w:style w:type="character" w:customStyle="1" w:styleId="Ttulo4Car">
    <w:name w:val="Título 4 Car"/>
    <w:link w:val="Ttulo4"/>
    <w:uiPriority w:val="9"/>
    <w:rsid w:val="009E1AFD"/>
    <w:rPr>
      <w:rFonts w:ascii="Cambria" w:eastAsia="Times New Roman" w:hAnsi="Cambria" w:cs="Times New Roman"/>
      <w:b/>
      <w:bCs/>
      <w:i/>
      <w:iCs/>
      <w:color w:val="4F81BD"/>
      <w:lang w:eastAsia="es-EC"/>
    </w:rPr>
  </w:style>
  <w:style w:type="character" w:customStyle="1" w:styleId="Ttulo5Car">
    <w:name w:val="Título 5 Car"/>
    <w:link w:val="Ttulo5"/>
    <w:uiPriority w:val="9"/>
    <w:rsid w:val="009E1AFD"/>
    <w:rPr>
      <w:rFonts w:ascii="Cambria" w:eastAsia="Times New Roman" w:hAnsi="Cambria" w:cs="Times New Roman"/>
      <w:color w:val="243F60"/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9E1AFD"/>
    <w:pPr>
      <w:spacing w:after="100"/>
    </w:pPr>
    <w:rPr>
      <w:rFonts w:eastAsia="Times New Roman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AFD"/>
    <w:pPr>
      <w:spacing w:after="100"/>
      <w:ind w:left="220"/>
    </w:pPr>
    <w:rPr>
      <w:rFonts w:eastAsia="Times New Roman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9E1AFD"/>
    <w:pPr>
      <w:spacing w:after="100"/>
      <w:ind w:left="440"/>
    </w:pPr>
    <w:rPr>
      <w:rFonts w:eastAsia="Times New Roman"/>
    </w:rPr>
  </w:style>
  <w:style w:type="paragraph" w:styleId="Sinespaciado">
    <w:name w:val="No Spacing"/>
    <w:uiPriority w:val="1"/>
    <w:qFormat/>
    <w:rsid w:val="009E1AFD"/>
    <w:rPr>
      <w:rFonts w:eastAsia="Times New Roman"/>
      <w:sz w:val="22"/>
      <w:szCs w:val="22"/>
    </w:rPr>
  </w:style>
  <w:style w:type="character" w:customStyle="1" w:styleId="PrrafodelistaCar">
    <w:name w:val="Párrafo de lista Car"/>
    <w:link w:val="Prrafodelista"/>
    <w:uiPriority w:val="34"/>
    <w:rsid w:val="009E1AFD"/>
    <w:rPr>
      <w:rFonts w:ascii="Calibri" w:hAnsi="Calibri"/>
      <w:lang w:eastAsia="es-EC"/>
    </w:rPr>
  </w:style>
  <w:style w:type="character" w:styleId="nfasisintenso">
    <w:name w:val="Intense Emphasis"/>
    <w:aliases w:val="Mickey Título"/>
    <w:uiPriority w:val="21"/>
    <w:qFormat/>
    <w:rsid w:val="009E1AFD"/>
    <w:rPr>
      <w:b/>
      <w:bCs/>
      <w:i/>
      <w:iCs/>
      <w:color w:val="4F81BD"/>
    </w:rPr>
  </w:style>
  <w:style w:type="paragraph" w:styleId="TtulodeTDC">
    <w:name w:val="TOC Heading"/>
    <w:basedOn w:val="Ttulo1"/>
    <w:next w:val="Normal"/>
    <w:uiPriority w:val="39"/>
    <w:unhideWhenUsed/>
    <w:qFormat/>
    <w:rsid w:val="009E1AFD"/>
    <w:pPr>
      <w:outlineLvl w:val="9"/>
    </w:pPr>
  </w:style>
  <w:style w:type="character" w:customStyle="1" w:styleId="apple-converted-space">
    <w:name w:val="apple-converted-space"/>
    <w:basedOn w:val="Fuentedeprrafopredeter"/>
    <w:rsid w:val="006B211F"/>
  </w:style>
  <w:style w:type="character" w:styleId="nfasis">
    <w:name w:val="Emphasis"/>
    <w:uiPriority w:val="20"/>
    <w:qFormat/>
    <w:rsid w:val="006B211F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2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729CA"/>
    <w:rPr>
      <w:rFonts w:ascii="Tahoma" w:hAnsi="Tahoma" w:cs="Tahoma"/>
      <w:sz w:val="16"/>
      <w:szCs w:val="16"/>
      <w:lang w:eastAsia="es-EC"/>
    </w:rPr>
  </w:style>
  <w:style w:type="paragraph" w:styleId="NormalWeb">
    <w:name w:val="Normal (Web)"/>
    <w:basedOn w:val="Normal"/>
    <w:uiPriority w:val="99"/>
    <w:rsid w:val="00552849"/>
    <w:pPr>
      <w:spacing w:before="100" w:beforeAutospacing="1" w:after="100" w:afterAutospacing="1" w:line="240" w:lineRule="auto"/>
    </w:pPr>
    <w:rPr>
      <w:rFonts w:ascii="Times New Roman" w:eastAsia="Tw Cen MT" w:hAnsi="Times New Roman"/>
      <w:sz w:val="24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552849"/>
    <w:pPr>
      <w:spacing w:after="0" w:line="240" w:lineRule="auto"/>
    </w:pPr>
    <w:rPr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552849"/>
    <w:rPr>
      <w:rFonts w:ascii="Calibri" w:hAnsi="Calibri"/>
      <w:szCs w:val="21"/>
    </w:rPr>
  </w:style>
  <w:style w:type="character" w:styleId="Hipervnculo">
    <w:name w:val="Hyperlink"/>
    <w:uiPriority w:val="99"/>
    <w:unhideWhenUsed/>
    <w:rsid w:val="00030D84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004233"/>
    <w:pPr>
      <w:spacing w:after="0" w:line="240" w:lineRule="auto"/>
    </w:pPr>
    <w:rPr>
      <w:sz w:val="20"/>
      <w:szCs w:val="20"/>
      <w:lang w:eastAsia="en-US"/>
    </w:rPr>
  </w:style>
  <w:style w:type="character" w:customStyle="1" w:styleId="TextonotapieCar">
    <w:name w:val="Texto nota pie Car"/>
    <w:link w:val="Textonotapie"/>
    <w:uiPriority w:val="99"/>
    <w:rsid w:val="00004233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unhideWhenUsed/>
    <w:rsid w:val="00004233"/>
    <w:rPr>
      <w:vertAlign w:val="superscript"/>
    </w:rPr>
  </w:style>
  <w:style w:type="paragraph" w:styleId="Textoindependiente">
    <w:name w:val="Body Text"/>
    <w:basedOn w:val="Normal"/>
    <w:link w:val="TextoindependienteCar"/>
    <w:semiHidden/>
    <w:rsid w:val="00CF16E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es-ES"/>
    </w:rPr>
  </w:style>
  <w:style w:type="character" w:customStyle="1" w:styleId="TextoindependienteCar">
    <w:name w:val="Texto independiente Car"/>
    <w:link w:val="Textoindependiente"/>
    <w:semiHidden/>
    <w:rsid w:val="00CF16E0"/>
    <w:rPr>
      <w:rFonts w:ascii="Times New Roman" w:eastAsia="Times New Roman" w:hAnsi="Times New Roman" w:cs="Times New Roman"/>
      <w:sz w:val="16"/>
      <w:szCs w:val="20"/>
      <w:lang w:eastAsia="es-ES"/>
    </w:rPr>
  </w:style>
  <w:style w:type="paragraph" w:customStyle="1" w:styleId="Default">
    <w:name w:val="Default"/>
    <w:rsid w:val="00CF16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table" w:styleId="Tablaweb3">
    <w:name w:val="Table Web 3"/>
    <w:basedOn w:val="Tablanormal"/>
    <w:rsid w:val="002D24B0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5A0B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rsid w:val="005A0B89"/>
    <w:rPr>
      <w:rFonts w:ascii="Calibri" w:hAnsi="Calibri"/>
      <w:lang w:eastAsia="es-EC"/>
    </w:rPr>
  </w:style>
  <w:style w:type="paragraph" w:styleId="Piedepgina">
    <w:name w:val="footer"/>
    <w:basedOn w:val="Normal"/>
    <w:link w:val="PiedepginaCar"/>
    <w:uiPriority w:val="99"/>
    <w:unhideWhenUsed/>
    <w:rsid w:val="005A0B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rsid w:val="005A0B89"/>
    <w:rPr>
      <w:rFonts w:ascii="Calibri" w:hAnsi="Calibri"/>
      <w:lang w:eastAsia="es-EC"/>
    </w:rPr>
  </w:style>
  <w:style w:type="paragraph" w:customStyle="1" w:styleId="CEC00D05F4354E1094F28D836D46DBBF">
    <w:name w:val="CEC00D05F4354E1094F28D836D46DBBF"/>
    <w:rsid w:val="00C616E7"/>
    <w:pPr>
      <w:spacing w:after="200" w:line="276" w:lineRule="auto"/>
    </w:pPr>
    <w:rPr>
      <w:rFonts w:eastAsia="Times New Roman"/>
      <w:sz w:val="22"/>
      <w:szCs w:val="22"/>
    </w:rPr>
  </w:style>
  <w:style w:type="character" w:customStyle="1" w:styleId="estilo4">
    <w:name w:val="estilo4"/>
    <w:basedOn w:val="Fuentedeprrafopredeter"/>
    <w:rsid w:val="00A64F29"/>
  </w:style>
  <w:style w:type="paragraph" w:styleId="Textocomentario">
    <w:name w:val="annotation text"/>
    <w:basedOn w:val="Normal"/>
    <w:link w:val="TextocomentarioCar"/>
    <w:uiPriority w:val="99"/>
    <w:unhideWhenUsed/>
    <w:rsid w:val="00A64F29"/>
    <w:pPr>
      <w:spacing w:after="0" w:line="240" w:lineRule="auto"/>
    </w:pPr>
    <w:rPr>
      <w:rFonts w:ascii="Times New Roman" w:eastAsia="Batang" w:hAnsi="Times New Roman"/>
      <w:sz w:val="20"/>
      <w:szCs w:val="20"/>
      <w:lang w:val="es-ES" w:eastAsia="ko-KR"/>
    </w:rPr>
  </w:style>
  <w:style w:type="character" w:customStyle="1" w:styleId="TextocomentarioCar">
    <w:name w:val="Texto comentario Car"/>
    <w:link w:val="Textocomentario"/>
    <w:uiPriority w:val="99"/>
    <w:rsid w:val="00A64F29"/>
    <w:rPr>
      <w:rFonts w:ascii="Times New Roman" w:eastAsia="Batang" w:hAnsi="Times New Roman" w:cs="Times New Roman"/>
      <w:sz w:val="20"/>
      <w:szCs w:val="20"/>
      <w:lang w:val="es-ES" w:eastAsia="ko-KR"/>
    </w:rPr>
  </w:style>
  <w:style w:type="character" w:styleId="Refdecomentario">
    <w:name w:val="annotation reference"/>
    <w:uiPriority w:val="99"/>
    <w:semiHidden/>
    <w:unhideWhenUsed/>
    <w:rsid w:val="00224EC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4EC3"/>
    <w:pPr>
      <w:spacing w:after="200"/>
    </w:pPr>
    <w:rPr>
      <w:rFonts w:ascii="Calibri" w:eastAsia="Calibri" w:hAnsi="Calibri"/>
      <w:b/>
      <w:bCs/>
      <w:lang w:val="es-EC" w:eastAsia="es-EC"/>
    </w:rPr>
  </w:style>
  <w:style w:type="character" w:customStyle="1" w:styleId="AsuntodelcomentarioCar">
    <w:name w:val="Asunto del comentario Car"/>
    <w:link w:val="Asuntodelcomentario"/>
    <w:uiPriority w:val="99"/>
    <w:semiHidden/>
    <w:rsid w:val="00224EC3"/>
    <w:rPr>
      <w:rFonts w:ascii="Calibri" w:eastAsia="Batang" w:hAnsi="Calibri" w:cs="Times New Roman"/>
      <w:b/>
      <w:bCs/>
      <w:sz w:val="20"/>
      <w:szCs w:val="20"/>
      <w:lang w:val="es-ES" w:eastAsia="es-EC"/>
    </w:rPr>
  </w:style>
  <w:style w:type="paragraph" w:customStyle="1" w:styleId="default0">
    <w:name w:val="default"/>
    <w:basedOn w:val="Normal"/>
    <w:rsid w:val="00CD3B2E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Textodelmarcadordeposicin">
    <w:name w:val="Placeholder Text"/>
    <w:uiPriority w:val="99"/>
    <w:semiHidden/>
    <w:rsid w:val="006F7FE0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0267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546BA-6B21-4AB1-8243-5F11A809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900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Dirección de Normativas y Metodologías del SEN – DINME  gnogales</dc:creator>
  <cp:lastModifiedBy>Laura Jimenez</cp:lastModifiedBy>
  <cp:revision>4</cp:revision>
  <cp:lastPrinted>2016-11-14T20:51:00Z</cp:lastPrinted>
  <dcterms:created xsi:type="dcterms:W3CDTF">2017-06-13T20:33:00Z</dcterms:created>
  <dcterms:modified xsi:type="dcterms:W3CDTF">2017-06-13T20:39:00Z</dcterms:modified>
</cp:coreProperties>
</file>